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C3" w:rsidRDefault="00CF2769">
      <w:pPr>
        <w:pStyle w:val="Textbody"/>
        <w:spacing w:after="0"/>
        <w:jc w:val="center"/>
        <w:rPr>
          <w:rFonts w:ascii="Times New Roman" w:hAnsi="Times New Roman" w:cs="Times New Roman"/>
          <w:b/>
          <w:bCs/>
          <w:sz w:val="22"/>
        </w:rPr>
      </w:pPr>
      <w:bookmarkStart w:id="0" w:name="_GoBack"/>
      <w:bookmarkEnd w:id="0"/>
      <w:r>
        <w:rPr>
          <w:rFonts w:ascii="Times New Roman" w:hAnsi="Times New Roman" w:cs="Times New Roman"/>
          <w:b/>
          <w:bCs/>
          <w:sz w:val="22"/>
        </w:rPr>
        <w:t>Annexe 1</w:t>
      </w:r>
    </w:p>
    <w:p w:rsidR="009936C3" w:rsidRDefault="009936C3">
      <w:pPr>
        <w:pStyle w:val="Textbody"/>
        <w:spacing w:after="0"/>
        <w:jc w:val="center"/>
        <w:rPr>
          <w:rFonts w:ascii="Times New Roman" w:hAnsi="Times New Roman" w:cs="Times New Roman"/>
          <w:sz w:val="22"/>
        </w:rPr>
      </w:pPr>
    </w:p>
    <w:p w:rsidR="009936C3" w:rsidRDefault="00CF2769">
      <w:pPr>
        <w:pStyle w:val="Textbody"/>
        <w:spacing w:after="0"/>
        <w:jc w:val="center"/>
      </w:pPr>
      <w:r>
        <w:rPr>
          <w:rFonts w:ascii="Times New Roman" w:hAnsi="Times New Roman" w:cs="Times New Roman"/>
          <w:b/>
          <w:sz w:val="22"/>
        </w:rPr>
        <w:t>Modalités pratiques de mise en œuvre de la campagne d’entretiens professionnels 202</w:t>
      </w:r>
      <w:r w:rsidR="00B93431">
        <w:rPr>
          <w:rFonts w:ascii="Times New Roman" w:hAnsi="Times New Roman" w:cs="Times New Roman"/>
          <w:b/>
          <w:sz w:val="22"/>
        </w:rPr>
        <w:t>1</w:t>
      </w:r>
    </w:p>
    <w:p w:rsidR="009936C3" w:rsidRDefault="00CF2769">
      <w:pPr>
        <w:pStyle w:val="Textbody"/>
        <w:spacing w:after="0"/>
        <w:jc w:val="center"/>
      </w:pPr>
      <w:proofErr w:type="gramStart"/>
      <w:r>
        <w:rPr>
          <w:rFonts w:ascii="Times New Roman" w:hAnsi="Times New Roman" w:cs="Times New Roman"/>
          <w:b/>
          <w:sz w:val="22"/>
        </w:rPr>
        <w:t>des</w:t>
      </w:r>
      <w:proofErr w:type="gramEnd"/>
      <w:r>
        <w:rPr>
          <w:rFonts w:ascii="Times New Roman" w:hAnsi="Times New Roman" w:cs="Times New Roman"/>
          <w:b/>
          <w:sz w:val="22"/>
        </w:rPr>
        <w:t xml:space="preserve"> ingénieurs des ponts, des eaux et des forêts (IPEF)</w:t>
      </w:r>
    </w:p>
    <w:p w:rsidR="009936C3" w:rsidRDefault="00CF2769">
      <w:pPr>
        <w:pStyle w:val="Titre1"/>
        <w:rPr>
          <w:rFonts w:ascii="Times New Roman" w:hAnsi="Times New Roman"/>
        </w:rPr>
      </w:pPr>
      <w:r>
        <w:rPr>
          <w:rFonts w:ascii="Times New Roman" w:hAnsi="Times New Roman"/>
        </w:rPr>
        <w:t>Le cadre juridique</w:t>
      </w:r>
    </w:p>
    <w:p w:rsidR="009936C3" w:rsidRDefault="00CF2769">
      <w:pPr>
        <w:pStyle w:val="Standard"/>
        <w:suppressAutoHyphens w:val="0"/>
        <w:spacing w:after="57"/>
        <w:jc w:val="both"/>
      </w:pPr>
      <w:r>
        <w:rPr>
          <w:rFonts w:ascii="Times New Roman" w:hAnsi="Times New Roman"/>
          <w:sz w:val="22"/>
        </w:rPr>
        <w:t xml:space="preserve">Le </w:t>
      </w:r>
      <w:hyperlink r:id="rId7" w:history="1">
        <w:r>
          <w:rPr>
            <w:rFonts w:ascii="Times New Roman" w:hAnsi="Times New Roman"/>
            <w:sz w:val="22"/>
            <w:u w:val="single"/>
          </w:rPr>
          <w:t>décret n° 2010-888 du 28 juillet 2010</w:t>
        </w:r>
      </w:hyperlink>
      <w:r>
        <w:rPr>
          <w:rFonts w:ascii="Times New Roman" w:hAnsi="Times New Roman"/>
          <w:sz w:val="22"/>
        </w:rPr>
        <w:t xml:space="preserve"> modifié relatif aux conditions générales de l’appréciation de la valeur professionnelle des fonctionnaires de l'État a généralisé le dispositif de l'entretien professionnel qui est désormais pérenne.</w:t>
      </w:r>
    </w:p>
    <w:p w:rsidR="009936C3" w:rsidRDefault="00CF2769">
      <w:pPr>
        <w:pStyle w:val="Standard"/>
        <w:suppressAutoHyphens w:val="0"/>
        <w:spacing w:after="57"/>
        <w:jc w:val="both"/>
      </w:pPr>
      <w:r>
        <w:rPr>
          <w:rFonts w:ascii="Times New Roman" w:hAnsi="Times New Roman"/>
          <w:sz w:val="22"/>
        </w:rPr>
        <w:t>Pour les IPEF, les modalités d'organisation des campagnes d’entretiens professionnels et des entretiens de formation sont prévues par l’</w:t>
      </w:r>
      <w:hyperlink r:id="rId8" w:history="1">
        <w:r>
          <w:rPr>
            <w:rFonts w:ascii="Times New Roman" w:hAnsi="Times New Roman"/>
            <w:sz w:val="22"/>
            <w:u w:val="single"/>
          </w:rPr>
          <w:t>a</w:t>
        </w:r>
      </w:hyperlink>
      <w:hyperlink r:id="rId9" w:history="1">
        <w:r>
          <w:rPr>
            <w:rFonts w:ascii="Times New Roman" w:hAnsi="Times New Roman"/>
            <w:sz w:val="22"/>
            <w:u w:val="single"/>
          </w:rPr>
          <w:t>rrêté du 20 juin 2011</w:t>
        </w:r>
      </w:hyperlink>
      <w:r>
        <w:rPr>
          <w:rFonts w:ascii="Times New Roman" w:hAnsi="Times New Roman"/>
          <w:sz w:val="22"/>
        </w:rPr>
        <w:t xml:space="preserve"> relatif aux conditions générales d’appréciation de la valeur professionnelle des membres du corps des ingénieurs des ponts, des eaux et des forêts.</w:t>
      </w:r>
    </w:p>
    <w:p w:rsidR="009936C3" w:rsidRDefault="009936C3">
      <w:pPr>
        <w:pStyle w:val="Standard"/>
        <w:suppressAutoHyphens w:val="0"/>
        <w:spacing w:after="57"/>
        <w:jc w:val="both"/>
        <w:rPr>
          <w:rFonts w:ascii="Times New Roman" w:hAnsi="Times New Roman"/>
          <w:sz w:val="22"/>
        </w:rPr>
      </w:pPr>
    </w:p>
    <w:p w:rsidR="009936C3" w:rsidRDefault="00CF2769">
      <w:pPr>
        <w:pStyle w:val="Standard"/>
        <w:suppressAutoHyphens w:val="0"/>
        <w:spacing w:after="57"/>
        <w:jc w:val="both"/>
        <w:rPr>
          <w:rFonts w:ascii="Times New Roman" w:hAnsi="Times New Roman"/>
          <w:b/>
          <w:bCs/>
          <w:sz w:val="22"/>
        </w:rPr>
      </w:pPr>
      <w:r>
        <w:rPr>
          <w:rFonts w:ascii="Times New Roman" w:hAnsi="Times New Roman"/>
          <w:b/>
          <w:bCs/>
          <w:sz w:val="22"/>
        </w:rPr>
        <w:t>Rappel</w:t>
      </w:r>
    </w:p>
    <w:p w:rsidR="009936C3" w:rsidRPr="0004310F" w:rsidRDefault="00CF2769">
      <w:pPr>
        <w:pStyle w:val="Textbody"/>
        <w:pBdr>
          <w:top w:val="double" w:sz="4" w:space="1" w:color="000000"/>
          <w:left w:val="double" w:sz="4" w:space="1" w:color="000000"/>
          <w:bottom w:val="double" w:sz="4" w:space="1" w:color="000000"/>
          <w:right w:val="double" w:sz="4" w:space="1" w:color="000000"/>
        </w:pBdr>
        <w:suppressAutoHyphens w:val="0"/>
        <w:spacing w:after="0" w:line="240" w:lineRule="auto"/>
        <w:jc w:val="both"/>
        <w:rPr>
          <w:rFonts w:ascii="Times New Roman" w:hAnsi="Times New Roman" w:cs="Times New Roman"/>
          <w:sz w:val="22"/>
          <w:szCs w:val="22"/>
        </w:rPr>
      </w:pPr>
      <w:r w:rsidRPr="00B716A7">
        <w:rPr>
          <w:rFonts w:ascii="Times New Roman" w:hAnsi="Times New Roman" w:cs="Times New Roman"/>
          <w:sz w:val="22"/>
          <w:szCs w:val="22"/>
        </w:rPr>
        <w:t xml:space="preserve">Le décret n° 2017-722 du 2 mai 2017 a modifié le décret n° 2010-888 du 28 juillet 2010. Il a introduit une </w:t>
      </w:r>
      <w:r w:rsidRPr="00B716A7">
        <w:rPr>
          <w:rFonts w:ascii="Times New Roman" w:hAnsi="Times New Roman" w:cs="Times New Roman"/>
          <w:sz w:val="22"/>
          <w:szCs w:val="22"/>
          <w:u w:val="single"/>
        </w:rPr>
        <w:t>nouvelle disposition</w:t>
      </w:r>
      <w:r w:rsidRPr="00B716A7">
        <w:rPr>
          <w:rFonts w:ascii="Times New Roman" w:hAnsi="Times New Roman" w:cs="Times New Roman"/>
          <w:sz w:val="22"/>
          <w:szCs w:val="22"/>
        </w:rPr>
        <w:t xml:space="preserve"> qui concerne les </w:t>
      </w:r>
      <w:r w:rsidRPr="00B716A7">
        <w:rPr>
          <w:rFonts w:ascii="Times New Roman" w:hAnsi="Times New Roman" w:cs="Times New Roman"/>
          <w:sz w:val="22"/>
          <w:szCs w:val="22"/>
          <w:u w:val="single"/>
        </w:rPr>
        <w:t>fonctionnaires qui n'ont bénéficié, depuis leur nomination au sein de leur administration, établissement ou collectivité territoriale d'origine, d'aucune promotion ni par voie d'avancement ni par voie de concours ou de promotion internes</w:t>
      </w:r>
      <w:r w:rsidRPr="0004310F">
        <w:rPr>
          <w:rStyle w:val="StrongEmphasis"/>
          <w:rFonts w:ascii="Times New Roman" w:hAnsi="Times New Roman" w:cs="Times New Roman"/>
          <w:b w:val="0"/>
          <w:bCs w:val="0"/>
          <w:sz w:val="22"/>
          <w:szCs w:val="22"/>
          <w:u w:val="single"/>
        </w:rPr>
        <w:t>. Sont également concernés les agents en position de détachement, intégrés à la suite d'un détachement ou directement intégrés,</w:t>
      </w:r>
    </w:p>
    <w:p w:rsidR="009936C3" w:rsidRPr="0004310F" w:rsidRDefault="00CF2769">
      <w:pPr>
        <w:pStyle w:val="Textbody"/>
        <w:pBdr>
          <w:top w:val="double" w:sz="4" w:space="1" w:color="000000"/>
          <w:left w:val="double" w:sz="4" w:space="1" w:color="000000"/>
          <w:bottom w:val="double" w:sz="4" w:space="1" w:color="000000"/>
          <w:right w:val="double" w:sz="4" w:space="1" w:color="000000"/>
        </w:pBdr>
        <w:suppressAutoHyphens w:val="0"/>
        <w:spacing w:after="0" w:line="240" w:lineRule="auto"/>
        <w:jc w:val="both"/>
        <w:rPr>
          <w:rFonts w:ascii="Times New Roman" w:hAnsi="Times New Roman" w:cs="Times New Roman"/>
          <w:sz w:val="22"/>
          <w:szCs w:val="22"/>
        </w:rPr>
      </w:pPr>
      <w:r w:rsidRPr="00B716A7">
        <w:rPr>
          <w:rFonts w:ascii="Times New Roman" w:hAnsi="Times New Roman" w:cs="Times New Roman"/>
          <w:sz w:val="22"/>
          <w:szCs w:val="22"/>
        </w:rPr>
        <w:t>Lorsque l’agent a atteint, depuis au moins trois ans au 31 décembre de l'année au titre de laquelle il est procédé à l'évaluation, le dernier échelon du grade dont il est titulaire et lorsque la nomination à ce grade ne résulte pas d'un avancement de grade ou d'un accès à celui-ci par concours ou promotion internes, ses perspectives d'accès au grade supérieur sont abordées au cours de l'entretien professionnel et font l'objet d'une appréciation particulière du supérieur hiérarchique. Cette appréciation est portée à la connaissance de la commission administrative paritaire compétente.</w:t>
      </w:r>
    </w:p>
    <w:p w:rsidR="009936C3" w:rsidRPr="0004310F" w:rsidRDefault="00CF2769">
      <w:pPr>
        <w:pStyle w:val="Textbody"/>
        <w:pBdr>
          <w:top w:val="double" w:sz="4" w:space="1" w:color="000000"/>
          <w:left w:val="double" w:sz="4" w:space="1" w:color="000000"/>
          <w:bottom w:val="double" w:sz="4" w:space="1" w:color="000000"/>
          <w:right w:val="double" w:sz="4" w:space="1" w:color="000000"/>
        </w:pBdr>
        <w:suppressAutoHyphens w:val="0"/>
        <w:spacing w:after="0" w:line="240" w:lineRule="auto"/>
        <w:jc w:val="both"/>
        <w:rPr>
          <w:rFonts w:ascii="Times New Roman" w:hAnsi="Times New Roman" w:cs="Times New Roman"/>
          <w:sz w:val="22"/>
          <w:szCs w:val="22"/>
        </w:rPr>
      </w:pPr>
      <w:r w:rsidRPr="00B716A7">
        <w:rPr>
          <w:rFonts w:ascii="Times New Roman" w:hAnsi="Times New Roman" w:cs="Times New Roman"/>
          <w:sz w:val="22"/>
          <w:szCs w:val="22"/>
        </w:rPr>
        <w:t xml:space="preserve">Les managers pourront rédiger l’appréciation particulière dans le cadre réservé à l’appréciation générale du supérieur hiérarchique direct, </w:t>
      </w:r>
      <w:r w:rsidRPr="00B716A7">
        <w:rPr>
          <w:rFonts w:ascii="Times New Roman" w:hAnsi="Times New Roman" w:cs="Times New Roman"/>
          <w:sz w:val="22"/>
          <w:szCs w:val="22"/>
          <w:u w:val="single"/>
        </w:rPr>
        <w:t>en précisant qu’il s’agit de ce dispositif</w:t>
      </w:r>
      <w:r w:rsidRPr="00B716A7">
        <w:rPr>
          <w:rFonts w:ascii="Times New Roman" w:hAnsi="Times New Roman" w:cs="Times New Roman"/>
          <w:sz w:val="22"/>
          <w:szCs w:val="22"/>
        </w:rPr>
        <w:t>.</w:t>
      </w:r>
    </w:p>
    <w:p w:rsidR="009936C3" w:rsidRDefault="009936C3">
      <w:pPr>
        <w:pStyle w:val="Standard"/>
        <w:suppressAutoHyphens w:val="0"/>
        <w:rPr>
          <w:rFonts w:ascii="Times New Roman" w:hAnsi="Times New Roman"/>
          <w:sz w:val="22"/>
        </w:rPr>
      </w:pPr>
    </w:p>
    <w:p w:rsidR="009936C3" w:rsidRDefault="00CF2769">
      <w:pPr>
        <w:pStyle w:val="NormalWeb"/>
        <w:spacing w:before="0" w:after="113"/>
        <w:jc w:val="both"/>
        <w:rPr>
          <w:rFonts w:ascii="Times New Roman" w:eastAsia="Times New Roman" w:hAnsi="Times New Roman" w:cs="Times New Roman"/>
          <w:b/>
          <w:bCs/>
          <w:sz w:val="22"/>
        </w:rPr>
      </w:pPr>
      <w:r>
        <w:rPr>
          <w:rFonts w:ascii="Times New Roman" w:eastAsia="Times New Roman" w:hAnsi="Times New Roman" w:cs="Times New Roman"/>
          <w:b/>
          <w:bCs/>
          <w:sz w:val="22"/>
        </w:rPr>
        <w:t>Le support de compte rendu d’entretien professionnel</w:t>
      </w:r>
    </w:p>
    <w:p w:rsidR="009936C3" w:rsidRDefault="00CF2769">
      <w:pPr>
        <w:pStyle w:val="Textbody"/>
        <w:spacing w:after="119" w:line="240" w:lineRule="auto"/>
        <w:jc w:val="both"/>
      </w:pPr>
      <w:r>
        <w:rPr>
          <w:rStyle w:val="CorpsdetexteCar"/>
          <w:rFonts w:ascii="Times New Roman" w:eastAsia="SimSun, 宋体" w:hAnsi="Times New Roman" w:cs="Times New Roman"/>
          <w:sz w:val="22"/>
          <w:szCs w:val="22"/>
        </w:rPr>
        <w:t>Le support d’entretien professionnel et de formation, spécifique aux IPEF, doit être utilisé pour la campagne d</w:t>
      </w:r>
      <w:r w:rsidR="00137BFF">
        <w:rPr>
          <w:rStyle w:val="CorpsdetexteCar"/>
          <w:rFonts w:ascii="Times New Roman" w:eastAsia="SimSun, 宋体" w:hAnsi="Times New Roman" w:cs="Times New Roman"/>
          <w:sz w:val="22"/>
          <w:szCs w:val="22"/>
        </w:rPr>
        <w:t xml:space="preserve">es </w:t>
      </w:r>
      <w:r>
        <w:rPr>
          <w:rStyle w:val="CorpsdetexteCar"/>
          <w:rFonts w:ascii="Times New Roman" w:eastAsia="SimSun, 宋体" w:hAnsi="Times New Roman" w:cs="Times New Roman"/>
          <w:sz w:val="22"/>
          <w:szCs w:val="22"/>
        </w:rPr>
        <w:t xml:space="preserve">entretiens professionnels portant sur l’évaluation des activités </w:t>
      </w:r>
      <w:r>
        <w:rPr>
          <w:rStyle w:val="CorpsdetexteCar"/>
          <w:rFonts w:ascii="Times New Roman" w:eastAsia="SimSun, 宋体" w:hAnsi="Times New Roman" w:cs="Times New Roman"/>
          <w:b/>
          <w:bCs/>
          <w:sz w:val="22"/>
          <w:szCs w:val="22"/>
        </w:rPr>
        <w:t>de 202</w:t>
      </w:r>
      <w:r w:rsidR="00B93431">
        <w:rPr>
          <w:rStyle w:val="CorpsdetexteCar"/>
          <w:rFonts w:ascii="Times New Roman" w:eastAsia="SimSun, 宋体" w:hAnsi="Times New Roman" w:cs="Times New Roman"/>
          <w:b/>
          <w:bCs/>
          <w:sz w:val="22"/>
          <w:szCs w:val="22"/>
        </w:rPr>
        <w:t>1</w:t>
      </w:r>
      <w:r>
        <w:rPr>
          <w:rStyle w:val="CorpsdetexteCar"/>
          <w:rFonts w:ascii="Times New Roman" w:eastAsia="SimSun, 宋体" w:hAnsi="Times New Roman" w:cs="Times New Roman"/>
          <w:sz w:val="22"/>
          <w:szCs w:val="22"/>
        </w:rPr>
        <w:t>.</w:t>
      </w:r>
    </w:p>
    <w:p w:rsidR="009936C3" w:rsidRDefault="00CF2769">
      <w:pPr>
        <w:pStyle w:val="Standard"/>
        <w:autoSpaceDE w:val="0"/>
        <w:spacing w:before="57" w:after="119"/>
        <w:ind w:right="113"/>
        <w:jc w:val="both"/>
        <w:rPr>
          <w:rFonts w:ascii="Times New Roman" w:eastAsia="SimSun, 宋体" w:hAnsi="Times New Roman" w:cs="Times New Roman"/>
          <w:spacing w:val="-4"/>
          <w:sz w:val="22"/>
          <w:szCs w:val="22"/>
          <w:u w:val="single"/>
          <w:lang w:bidi="ar-SA"/>
        </w:rPr>
      </w:pPr>
      <w:r>
        <w:rPr>
          <w:rFonts w:ascii="Times New Roman" w:eastAsia="SimSun, 宋体" w:hAnsi="Times New Roman" w:cs="Times New Roman"/>
          <w:spacing w:val="-4"/>
          <w:sz w:val="22"/>
          <w:szCs w:val="22"/>
          <w:u w:val="single"/>
          <w:lang w:bidi="ar-SA"/>
        </w:rPr>
        <w:t>Ne sont pas concernés :</w:t>
      </w:r>
    </w:p>
    <w:p w:rsidR="009936C3" w:rsidRDefault="00CF2769">
      <w:pPr>
        <w:pStyle w:val="Standard"/>
        <w:autoSpaceDE w:val="0"/>
        <w:spacing w:after="119"/>
        <w:ind w:left="283"/>
        <w:jc w:val="both"/>
      </w:pPr>
      <w:r>
        <w:rPr>
          <w:rFonts w:ascii="Times New Roman" w:eastAsia="SimSun, 宋体" w:hAnsi="Times New Roman" w:cs="Times New Roman"/>
          <w:sz w:val="22"/>
          <w:szCs w:val="22"/>
          <w:lang w:bidi="ar-SA"/>
        </w:rPr>
        <w:t>- les IPEF af</w:t>
      </w:r>
      <w:r>
        <w:rPr>
          <w:rFonts w:ascii="Times New Roman" w:eastAsia="SimSun, 宋体" w:hAnsi="Times New Roman" w:cs="Times New Roman"/>
          <w:spacing w:val="1"/>
          <w:sz w:val="22"/>
          <w:szCs w:val="22"/>
          <w:lang w:bidi="ar-SA"/>
        </w:rPr>
        <w:t>f</w:t>
      </w:r>
      <w:r>
        <w:rPr>
          <w:rFonts w:ascii="Times New Roman" w:eastAsia="SimSun, 宋体" w:hAnsi="Times New Roman" w:cs="Times New Roman"/>
          <w:sz w:val="22"/>
          <w:szCs w:val="22"/>
          <w:lang w:bidi="ar-SA"/>
        </w:rPr>
        <w:t>ectés</w:t>
      </w:r>
      <w:r>
        <w:rPr>
          <w:rFonts w:ascii="Times New Roman" w:eastAsia="SimSun, 宋体" w:hAnsi="Times New Roman" w:cs="Times New Roman"/>
          <w:spacing w:val="-4"/>
          <w:sz w:val="22"/>
          <w:szCs w:val="22"/>
          <w:lang w:bidi="ar-SA"/>
        </w:rPr>
        <w:t xml:space="preserve"> </w:t>
      </w:r>
      <w:r>
        <w:rPr>
          <w:rFonts w:ascii="Times New Roman" w:eastAsia="SimSun, 宋体" w:hAnsi="Times New Roman" w:cs="Times New Roman"/>
          <w:sz w:val="22"/>
          <w:szCs w:val="22"/>
          <w:lang w:bidi="ar-SA"/>
        </w:rPr>
        <w:t>en direction départementale interministérielle (DDI),</w:t>
      </w:r>
      <w:r>
        <w:rPr>
          <w:rFonts w:ascii="Times New Roman" w:eastAsia="SimSun, 宋体" w:hAnsi="Times New Roman" w:cs="Times New Roman"/>
          <w:spacing w:val="-2"/>
          <w:sz w:val="22"/>
          <w:szCs w:val="22"/>
          <w:lang w:bidi="ar-SA"/>
        </w:rPr>
        <w:t xml:space="preserve"> </w:t>
      </w:r>
      <w:r>
        <w:rPr>
          <w:rFonts w:ascii="Times New Roman" w:eastAsia="SimSun, 宋体" w:hAnsi="Times New Roman" w:cs="Times New Roman"/>
          <w:sz w:val="22"/>
          <w:szCs w:val="22"/>
          <w:lang w:bidi="ar-SA"/>
        </w:rPr>
        <w:t>qui</w:t>
      </w:r>
      <w:r>
        <w:rPr>
          <w:rFonts w:ascii="Times New Roman" w:eastAsia="SimSun, 宋体" w:hAnsi="Times New Roman" w:cs="Times New Roman"/>
          <w:spacing w:val="-1"/>
          <w:sz w:val="22"/>
          <w:szCs w:val="22"/>
          <w:lang w:bidi="ar-SA"/>
        </w:rPr>
        <w:t xml:space="preserve"> </w:t>
      </w:r>
      <w:r>
        <w:rPr>
          <w:rFonts w:ascii="Times New Roman" w:eastAsia="SimSun, 宋体" w:hAnsi="Times New Roman" w:cs="Times New Roman"/>
          <w:sz w:val="22"/>
          <w:szCs w:val="22"/>
          <w:lang w:bidi="ar-SA"/>
        </w:rPr>
        <w:t>bénéficient</w:t>
      </w:r>
      <w:r>
        <w:rPr>
          <w:rFonts w:ascii="Times New Roman" w:eastAsia="SimSun, 宋体" w:hAnsi="Times New Roman" w:cs="Times New Roman"/>
          <w:spacing w:val="-8"/>
          <w:sz w:val="22"/>
          <w:szCs w:val="22"/>
          <w:lang w:bidi="ar-SA"/>
        </w:rPr>
        <w:t xml:space="preserve"> </w:t>
      </w:r>
      <w:r>
        <w:rPr>
          <w:rFonts w:ascii="Times New Roman" w:eastAsia="SimSun, 宋体" w:hAnsi="Times New Roman" w:cs="Times New Roman"/>
          <w:sz w:val="22"/>
          <w:szCs w:val="22"/>
          <w:lang w:bidi="ar-SA"/>
        </w:rPr>
        <w:t>d</w:t>
      </w:r>
      <w:r>
        <w:rPr>
          <w:rFonts w:ascii="Times New Roman" w:eastAsia="SimSun, 宋体" w:hAnsi="Times New Roman" w:cs="Times New Roman"/>
          <w:spacing w:val="1"/>
          <w:sz w:val="22"/>
          <w:szCs w:val="22"/>
          <w:lang w:bidi="ar-SA"/>
        </w:rPr>
        <w:t>’</w:t>
      </w:r>
      <w:r>
        <w:rPr>
          <w:rFonts w:ascii="Times New Roman" w:eastAsia="SimSun, 宋体" w:hAnsi="Times New Roman" w:cs="Times New Roman"/>
          <w:sz w:val="22"/>
          <w:szCs w:val="22"/>
          <w:lang w:bidi="ar-SA"/>
        </w:rPr>
        <w:t>un</w:t>
      </w:r>
      <w:r>
        <w:rPr>
          <w:rFonts w:ascii="Times New Roman" w:eastAsia="SimSun, 宋体" w:hAnsi="Times New Roman" w:cs="Times New Roman"/>
          <w:spacing w:val="-2"/>
          <w:sz w:val="22"/>
          <w:szCs w:val="22"/>
          <w:lang w:bidi="ar-SA"/>
        </w:rPr>
        <w:t xml:space="preserve"> </w:t>
      </w:r>
      <w:r>
        <w:rPr>
          <w:rFonts w:ascii="Times New Roman" w:eastAsia="SimSun, 宋体" w:hAnsi="Times New Roman" w:cs="Times New Roman"/>
          <w:sz w:val="22"/>
          <w:szCs w:val="22"/>
          <w:lang w:bidi="ar-SA"/>
        </w:rPr>
        <w:t>support</w:t>
      </w:r>
      <w:r>
        <w:rPr>
          <w:rFonts w:ascii="Times New Roman" w:eastAsia="SimSun, 宋体" w:hAnsi="Times New Roman" w:cs="Times New Roman"/>
          <w:spacing w:val="-5"/>
          <w:sz w:val="22"/>
          <w:szCs w:val="22"/>
          <w:lang w:bidi="ar-SA"/>
        </w:rPr>
        <w:t xml:space="preserve"> </w:t>
      </w:r>
      <w:r>
        <w:rPr>
          <w:rFonts w:ascii="Times New Roman" w:eastAsia="SimSun, 宋体" w:hAnsi="Times New Roman" w:cs="Times New Roman"/>
          <w:sz w:val="22"/>
          <w:szCs w:val="22"/>
          <w:lang w:bidi="ar-SA"/>
        </w:rPr>
        <w:t>de compte rendu d’entretien</w:t>
      </w:r>
      <w:r>
        <w:rPr>
          <w:rFonts w:ascii="Times New Roman" w:eastAsia="SimSun, 宋体" w:hAnsi="Times New Roman" w:cs="Times New Roman"/>
          <w:spacing w:val="-8"/>
          <w:sz w:val="22"/>
          <w:szCs w:val="22"/>
          <w:lang w:bidi="ar-SA"/>
        </w:rPr>
        <w:t xml:space="preserve"> </w:t>
      </w:r>
      <w:r>
        <w:rPr>
          <w:rFonts w:ascii="Times New Roman" w:eastAsia="SimSun, 宋体" w:hAnsi="Times New Roman" w:cs="Times New Roman"/>
          <w:sz w:val="22"/>
          <w:szCs w:val="22"/>
          <w:lang w:bidi="ar-SA"/>
        </w:rPr>
        <w:t>spécifique</w:t>
      </w:r>
      <w:r>
        <w:rPr>
          <w:rFonts w:ascii="Times New Roman" w:eastAsia="SimSun, 宋体" w:hAnsi="Times New Roman" w:cs="Times New Roman"/>
          <w:spacing w:val="-7"/>
          <w:sz w:val="22"/>
          <w:szCs w:val="22"/>
          <w:lang w:bidi="ar-SA"/>
        </w:rPr>
        <w:t xml:space="preserve"> </w:t>
      </w:r>
      <w:r>
        <w:rPr>
          <w:rFonts w:ascii="Times New Roman" w:eastAsia="SimSun, 宋体" w:hAnsi="Times New Roman" w:cs="Times New Roman"/>
          <w:sz w:val="22"/>
          <w:szCs w:val="22"/>
          <w:lang w:bidi="ar-SA"/>
        </w:rPr>
        <w:t>(cf.</w:t>
      </w:r>
      <w:r>
        <w:rPr>
          <w:rFonts w:ascii="Times New Roman" w:eastAsia="SimSun, 宋体" w:hAnsi="Times New Roman" w:cs="Times New Roman"/>
          <w:spacing w:val="-1"/>
          <w:sz w:val="22"/>
          <w:szCs w:val="22"/>
          <w:lang w:bidi="ar-SA"/>
        </w:rPr>
        <w:t xml:space="preserve"> </w:t>
      </w:r>
      <w:hyperlink r:id="rId10" w:history="1">
        <w:r>
          <w:rPr>
            <w:rFonts w:ascii="Times New Roman" w:eastAsia="SimSun, 宋体" w:hAnsi="Times New Roman" w:cs="Times New Roman"/>
            <w:color w:val="0000FF"/>
            <w:sz w:val="22"/>
            <w:szCs w:val="22"/>
            <w:lang w:bidi="ar-SA"/>
          </w:rPr>
          <w:t>arrêté</w:t>
        </w:r>
      </w:hyperlink>
      <w:hyperlink r:id="rId11" w:history="1">
        <w:r>
          <w:rPr>
            <w:rFonts w:ascii="Times New Roman" w:eastAsia="SimSun, 宋体" w:hAnsi="Times New Roman" w:cs="Times New Roman"/>
            <w:color w:val="0000FF"/>
            <w:spacing w:val="-8"/>
            <w:sz w:val="22"/>
            <w:szCs w:val="22"/>
            <w:lang w:bidi="ar-SA"/>
          </w:rPr>
          <w:t xml:space="preserve"> </w:t>
        </w:r>
      </w:hyperlink>
      <w:hyperlink r:id="rId12" w:history="1">
        <w:r>
          <w:rPr>
            <w:rFonts w:ascii="Times New Roman" w:eastAsia="SimSun, 宋体" w:hAnsi="Times New Roman" w:cs="Times New Roman"/>
            <w:color w:val="0000FF"/>
            <w:sz w:val="22"/>
            <w:szCs w:val="22"/>
            <w:lang w:bidi="ar-SA"/>
          </w:rPr>
          <w:t>du 28 janvier 2013</w:t>
        </w:r>
      </w:hyperlink>
      <w:r>
        <w:rPr>
          <w:rFonts w:ascii="Times New Roman" w:eastAsia="SimSun, 宋体" w:hAnsi="Times New Roman" w:cs="Times New Roman"/>
          <w:spacing w:val="-2"/>
          <w:sz w:val="22"/>
          <w:szCs w:val="22"/>
          <w:lang w:bidi="ar-SA"/>
        </w:rPr>
        <w:t xml:space="preserve"> </w:t>
      </w:r>
      <w:r>
        <w:rPr>
          <w:rFonts w:ascii="Times New Roman" w:eastAsia="SimSun, 宋体" w:hAnsi="Times New Roman" w:cs="Times New Roman"/>
          <w:sz w:val="22"/>
          <w:szCs w:val="22"/>
          <w:lang w:bidi="ar-SA"/>
        </w:rPr>
        <w:t>relatif</w:t>
      </w:r>
      <w:r>
        <w:rPr>
          <w:rFonts w:ascii="Times New Roman" w:eastAsia="SimSun, 宋体" w:hAnsi="Times New Roman" w:cs="Times New Roman"/>
          <w:spacing w:val="-7"/>
          <w:sz w:val="22"/>
          <w:szCs w:val="22"/>
          <w:lang w:bidi="ar-SA"/>
        </w:rPr>
        <w:t xml:space="preserve"> </w:t>
      </w:r>
      <w:r>
        <w:rPr>
          <w:rFonts w:ascii="Times New Roman" w:eastAsia="SimSun, 宋体" w:hAnsi="Times New Roman" w:cs="Times New Roman"/>
          <w:sz w:val="22"/>
          <w:szCs w:val="22"/>
          <w:lang w:bidi="ar-SA"/>
        </w:rPr>
        <w:t>aux</w:t>
      </w:r>
      <w:r>
        <w:rPr>
          <w:rFonts w:ascii="Times New Roman" w:eastAsia="SimSun, 宋体" w:hAnsi="Times New Roman" w:cs="Times New Roman"/>
          <w:spacing w:val="-1"/>
          <w:sz w:val="22"/>
          <w:szCs w:val="22"/>
          <w:lang w:bidi="ar-SA"/>
        </w:rPr>
        <w:t xml:space="preserve"> </w:t>
      </w:r>
      <w:r>
        <w:rPr>
          <w:rFonts w:ascii="Times New Roman" w:eastAsia="SimSun, 宋体" w:hAnsi="Times New Roman" w:cs="Times New Roman"/>
          <w:spacing w:val="-2"/>
          <w:sz w:val="22"/>
          <w:szCs w:val="22"/>
          <w:lang w:bidi="ar-SA"/>
        </w:rPr>
        <w:t>m</w:t>
      </w:r>
      <w:r>
        <w:rPr>
          <w:rFonts w:ascii="Times New Roman" w:eastAsia="SimSun, 宋体" w:hAnsi="Times New Roman" w:cs="Times New Roman"/>
          <w:sz w:val="22"/>
          <w:szCs w:val="22"/>
          <w:lang w:bidi="ar-SA"/>
        </w:rPr>
        <w:t>odalités</w:t>
      </w:r>
      <w:r>
        <w:rPr>
          <w:rFonts w:ascii="Times New Roman" w:eastAsia="SimSun, 宋体" w:hAnsi="Times New Roman" w:cs="Times New Roman"/>
          <w:spacing w:val="-7"/>
          <w:sz w:val="22"/>
          <w:szCs w:val="22"/>
          <w:lang w:bidi="ar-SA"/>
        </w:rPr>
        <w:t xml:space="preserve"> </w:t>
      </w:r>
      <w:r>
        <w:rPr>
          <w:rFonts w:ascii="Times New Roman" w:eastAsia="SimSun, 宋体" w:hAnsi="Times New Roman" w:cs="Times New Roman"/>
          <w:sz w:val="22"/>
          <w:szCs w:val="22"/>
          <w:lang w:bidi="ar-SA"/>
        </w:rPr>
        <w:t>d’organis</w:t>
      </w:r>
      <w:r>
        <w:rPr>
          <w:rFonts w:ascii="Times New Roman" w:eastAsia="SimSun, 宋体" w:hAnsi="Times New Roman" w:cs="Times New Roman"/>
          <w:spacing w:val="-1"/>
          <w:sz w:val="22"/>
          <w:szCs w:val="22"/>
          <w:lang w:bidi="ar-SA"/>
        </w:rPr>
        <w:t>a</w:t>
      </w:r>
      <w:r>
        <w:rPr>
          <w:rFonts w:ascii="Times New Roman" w:eastAsia="SimSun, 宋体" w:hAnsi="Times New Roman" w:cs="Times New Roman"/>
          <w:sz w:val="22"/>
          <w:szCs w:val="22"/>
          <w:lang w:bidi="ar-SA"/>
        </w:rPr>
        <w:t>tion</w:t>
      </w:r>
      <w:r>
        <w:rPr>
          <w:rFonts w:ascii="Times New Roman" w:eastAsia="SimSun, 宋体" w:hAnsi="Times New Roman" w:cs="Times New Roman"/>
          <w:spacing w:val="-11"/>
          <w:sz w:val="22"/>
          <w:szCs w:val="22"/>
          <w:lang w:bidi="ar-SA"/>
        </w:rPr>
        <w:t xml:space="preserve"> </w:t>
      </w:r>
      <w:r>
        <w:rPr>
          <w:rFonts w:ascii="Times New Roman" w:eastAsia="SimSun, 宋体" w:hAnsi="Times New Roman" w:cs="Times New Roman"/>
          <w:sz w:val="22"/>
          <w:szCs w:val="22"/>
          <w:lang w:bidi="ar-SA"/>
        </w:rPr>
        <w:t>de</w:t>
      </w:r>
      <w:r>
        <w:rPr>
          <w:rFonts w:ascii="Times New Roman" w:eastAsia="SimSun, 宋体" w:hAnsi="Times New Roman" w:cs="Times New Roman"/>
          <w:spacing w:val="1"/>
          <w:sz w:val="22"/>
          <w:szCs w:val="22"/>
          <w:lang w:bidi="ar-SA"/>
        </w:rPr>
        <w:t xml:space="preserve"> </w:t>
      </w:r>
      <w:r>
        <w:rPr>
          <w:rFonts w:ascii="Times New Roman" w:eastAsia="SimSun, 宋体" w:hAnsi="Times New Roman" w:cs="Times New Roman"/>
          <w:spacing w:val="-1"/>
          <w:sz w:val="22"/>
          <w:szCs w:val="22"/>
          <w:lang w:bidi="ar-SA"/>
        </w:rPr>
        <w:t>l</w:t>
      </w:r>
      <w:r>
        <w:rPr>
          <w:rFonts w:ascii="Times New Roman" w:eastAsia="SimSun, 宋体" w:hAnsi="Times New Roman" w:cs="Times New Roman"/>
          <w:spacing w:val="1"/>
          <w:sz w:val="22"/>
          <w:szCs w:val="22"/>
          <w:lang w:bidi="ar-SA"/>
        </w:rPr>
        <w:t>’</w:t>
      </w:r>
      <w:r>
        <w:rPr>
          <w:rFonts w:ascii="Times New Roman" w:eastAsia="SimSun, 宋体" w:hAnsi="Times New Roman" w:cs="Times New Roman"/>
          <w:sz w:val="22"/>
          <w:szCs w:val="22"/>
          <w:lang w:bidi="ar-SA"/>
        </w:rPr>
        <w:t>évaluation</w:t>
      </w:r>
      <w:r>
        <w:rPr>
          <w:rFonts w:ascii="Times New Roman" w:eastAsia="SimSun, 宋体" w:hAnsi="Times New Roman" w:cs="Times New Roman"/>
          <w:spacing w:val="-9"/>
          <w:sz w:val="22"/>
          <w:szCs w:val="22"/>
          <w:lang w:bidi="ar-SA"/>
        </w:rPr>
        <w:t xml:space="preserve"> </w:t>
      </w:r>
      <w:r>
        <w:rPr>
          <w:rFonts w:ascii="Times New Roman" w:eastAsia="SimSun, 宋体" w:hAnsi="Times New Roman" w:cs="Times New Roman"/>
          <w:sz w:val="22"/>
          <w:szCs w:val="22"/>
          <w:lang w:bidi="ar-SA"/>
        </w:rPr>
        <w:t>des agents</w:t>
      </w:r>
      <w:r>
        <w:rPr>
          <w:rFonts w:ascii="Times New Roman" w:eastAsia="SimSun, 宋体" w:hAnsi="Times New Roman" w:cs="Times New Roman"/>
          <w:spacing w:val="-6"/>
          <w:sz w:val="22"/>
          <w:szCs w:val="22"/>
          <w:lang w:bidi="ar-SA"/>
        </w:rPr>
        <w:t xml:space="preserve"> </w:t>
      </w:r>
      <w:r>
        <w:rPr>
          <w:rFonts w:ascii="Times New Roman" w:eastAsia="SimSun, 宋体" w:hAnsi="Times New Roman" w:cs="Times New Roman"/>
          <w:sz w:val="22"/>
          <w:szCs w:val="22"/>
          <w:lang w:bidi="ar-SA"/>
        </w:rPr>
        <w:t>de</w:t>
      </w:r>
      <w:r>
        <w:rPr>
          <w:rFonts w:ascii="Times New Roman" w:eastAsia="SimSun, 宋体" w:hAnsi="Times New Roman" w:cs="Times New Roman"/>
          <w:spacing w:val="-2"/>
          <w:sz w:val="22"/>
          <w:szCs w:val="22"/>
          <w:lang w:bidi="ar-SA"/>
        </w:rPr>
        <w:t xml:space="preserve"> l’État</w:t>
      </w:r>
      <w:r>
        <w:rPr>
          <w:rFonts w:ascii="Times New Roman" w:eastAsia="SimSun, 宋体" w:hAnsi="Times New Roman" w:cs="Times New Roman"/>
          <w:spacing w:val="-5"/>
          <w:sz w:val="22"/>
          <w:szCs w:val="22"/>
          <w:lang w:bidi="ar-SA"/>
        </w:rPr>
        <w:t xml:space="preserve"> </w:t>
      </w:r>
      <w:r>
        <w:rPr>
          <w:rFonts w:ascii="Times New Roman" w:eastAsia="SimSun, 宋体" w:hAnsi="Times New Roman" w:cs="Times New Roman"/>
          <w:sz w:val="22"/>
          <w:szCs w:val="22"/>
          <w:lang w:bidi="ar-SA"/>
        </w:rPr>
        <w:t>affectés</w:t>
      </w:r>
      <w:r>
        <w:rPr>
          <w:rFonts w:ascii="Times New Roman" w:eastAsia="SimSun, 宋体" w:hAnsi="Times New Roman" w:cs="Times New Roman"/>
          <w:spacing w:val="-7"/>
          <w:sz w:val="22"/>
          <w:szCs w:val="22"/>
          <w:lang w:bidi="ar-SA"/>
        </w:rPr>
        <w:t xml:space="preserve"> </w:t>
      </w:r>
      <w:r>
        <w:rPr>
          <w:rFonts w:ascii="Times New Roman" w:eastAsia="SimSun, 宋体" w:hAnsi="Times New Roman" w:cs="Times New Roman"/>
          <w:sz w:val="22"/>
          <w:szCs w:val="22"/>
          <w:lang w:bidi="ar-SA"/>
        </w:rPr>
        <w:t>dans</w:t>
      </w:r>
      <w:r>
        <w:rPr>
          <w:rFonts w:ascii="Times New Roman" w:eastAsia="SimSun, 宋体" w:hAnsi="Times New Roman" w:cs="Times New Roman"/>
          <w:spacing w:val="-4"/>
          <w:sz w:val="22"/>
          <w:szCs w:val="22"/>
          <w:lang w:bidi="ar-SA"/>
        </w:rPr>
        <w:t xml:space="preserve"> </w:t>
      </w:r>
      <w:r>
        <w:rPr>
          <w:rFonts w:ascii="Times New Roman" w:eastAsia="SimSun, 宋体" w:hAnsi="Times New Roman" w:cs="Times New Roman"/>
          <w:sz w:val="22"/>
          <w:szCs w:val="22"/>
          <w:lang w:bidi="ar-SA"/>
        </w:rPr>
        <w:t>les</w:t>
      </w:r>
      <w:r>
        <w:rPr>
          <w:rFonts w:ascii="Times New Roman" w:eastAsia="SimSun, 宋体" w:hAnsi="Times New Roman" w:cs="Times New Roman"/>
          <w:spacing w:val="-2"/>
          <w:sz w:val="22"/>
          <w:szCs w:val="22"/>
          <w:lang w:bidi="ar-SA"/>
        </w:rPr>
        <w:t xml:space="preserve"> </w:t>
      </w:r>
      <w:r>
        <w:rPr>
          <w:rFonts w:ascii="Times New Roman" w:eastAsia="SimSun, 宋体" w:hAnsi="Times New Roman" w:cs="Times New Roman"/>
          <w:spacing w:val="1"/>
          <w:sz w:val="22"/>
          <w:szCs w:val="22"/>
          <w:lang w:bidi="ar-SA"/>
        </w:rPr>
        <w:t>D</w:t>
      </w:r>
      <w:r>
        <w:rPr>
          <w:rFonts w:ascii="Times New Roman" w:eastAsia="SimSun, 宋体" w:hAnsi="Times New Roman" w:cs="Times New Roman"/>
          <w:sz w:val="22"/>
          <w:szCs w:val="22"/>
          <w:lang w:bidi="ar-SA"/>
        </w:rPr>
        <w:t>DI) ;</w:t>
      </w:r>
    </w:p>
    <w:p w:rsidR="009936C3" w:rsidRDefault="00CF2769">
      <w:pPr>
        <w:pStyle w:val="Standard"/>
        <w:widowControl/>
        <w:spacing w:before="57" w:after="119"/>
        <w:ind w:left="283"/>
        <w:jc w:val="both"/>
      </w:pPr>
      <w:r>
        <w:rPr>
          <w:rFonts w:ascii="Times New Roman" w:eastAsia="SimSun, 宋体" w:hAnsi="Times New Roman" w:cs="Times New Roman"/>
          <w:sz w:val="22"/>
          <w:szCs w:val="22"/>
          <w:lang w:bidi="ar-SA"/>
        </w:rPr>
        <w:t>- les IPEF détachés sur un emploi de chef de service ou de sous</w:t>
      </w:r>
      <w:r>
        <w:rPr>
          <w:rFonts w:ascii="Times New Roman" w:eastAsia="SimSun, 宋体" w:hAnsi="Times New Roman" w:cs="Times New Roman"/>
          <w:sz w:val="22"/>
          <w:szCs w:val="22"/>
          <w:lang w:bidi="ar-SA"/>
        </w:rPr>
        <w:noBreakHyphen/>
        <w:t>directeur des administrations de l’État et positionnés en administration centrale ou en service à compétence nationale, qui bénéficient d’un support de compte rendu d’entretien professionnel spécifique (</w:t>
      </w:r>
      <w:hyperlink r:id="rId13" w:history="1">
        <w:r>
          <w:rPr>
            <w:rFonts w:ascii="Times New Roman" w:eastAsia="SimSun, 宋体" w:hAnsi="Times New Roman" w:cs="Times New Roman"/>
            <w:sz w:val="22"/>
            <w:szCs w:val="22"/>
            <w:u w:val="single"/>
            <w:lang w:bidi="ar-SA"/>
          </w:rPr>
          <w:t>arrêté du 24 décembre 2015</w:t>
        </w:r>
      </w:hyperlink>
      <w:r>
        <w:rPr>
          <w:rFonts w:ascii="Times New Roman" w:eastAsia="SimSun, 宋体" w:hAnsi="Times New Roman" w:cs="Times New Roman"/>
          <w:sz w:val="22"/>
          <w:szCs w:val="22"/>
          <w:lang w:bidi="ar-SA"/>
        </w:rPr>
        <w:t xml:space="preserve"> relatif à l’entretien professionnel annuel des chefs de service et des sous-directeurs des administrations de l’État).</w:t>
      </w:r>
    </w:p>
    <w:p w:rsidR="009936C3" w:rsidRDefault="00CF2769">
      <w:pPr>
        <w:pStyle w:val="Textbody"/>
        <w:spacing w:before="113" w:after="57" w:line="240" w:lineRule="auto"/>
        <w:jc w:val="both"/>
        <w:rPr>
          <w:rFonts w:ascii="Times New Roman" w:eastAsia="Times New Roman" w:hAnsi="Times New Roman" w:cs="Times New Roman"/>
          <w:sz w:val="22"/>
        </w:rPr>
      </w:pPr>
      <w:r>
        <w:rPr>
          <w:rFonts w:ascii="Times New Roman" w:eastAsia="Times New Roman" w:hAnsi="Times New Roman" w:cs="Times New Roman"/>
          <w:sz w:val="22"/>
        </w:rPr>
        <w:t>L'exploitation des comptes rendus d'entretiens professionnels et de formation par les services devra contribuer à la construction d'une politique de gestion prévisionnelle des effectifs, des emplois et des compétences (GPEEC) et à l’élaboration du plan de formation.</w:t>
      </w:r>
    </w:p>
    <w:p w:rsidR="009936C3" w:rsidRDefault="00CF2769">
      <w:pPr>
        <w:pStyle w:val="Standard"/>
        <w:suppressAutoHyphens w:val="0"/>
        <w:spacing w:before="360" w:after="120"/>
        <w:rPr>
          <w:rFonts w:ascii="Times New Roman" w:hAnsi="Times New Roman"/>
          <w:b/>
          <w:bCs/>
          <w:sz w:val="22"/>
        </w:rPr>
      </w:pPr>
      <w:r>
        <w:rPr>
          <w:rFonts w:ascii="Times New Roman" w:hAnsi="Times New Roman"/>
          <w:b/>
          <w:bCs/>
          <w:sz w:val="22"/>
        </w:rPr>
        <w:t>L’entretien</w:t>
      </w:r>
    </w:p>
    <w:p w:rsidR="009936C3" w:rsidRDefault="00CF2769">
      <w:pPr>
        <w:pStyle w:val="Standard"/>
        <w:suppressAutoHyphens w:val="0"/>
        <w:spacing w:after="57"/>
        <w:jc w:val="both"/>
      </w:pPr>
      <w:r>
        <w:rPr>
          <w:rFonts w:ascii="Times New Roman" w:hAnsi="Times New Roman"/>
          <w:sz w:val="22"/>
        </w:rPr>
        <w:t xml:space="preserve">L'exercice de l’entretien professionnel est </w:t>
      </w:r>
      <w:r>
        <w:rPr>
          <w:rFonts w:ascii="Times New Roman" w:hAnsi="Times New Roman"/>
          <w:sz w:val="22"/>
          <w:u w:val="single"/>
        </w:rPr>
        <w:t>obligatoire</w:t>
      </w:r>
      <w:r>
        <w:rPr>
          <w:rFonts w:ascii="Times New Roman" w:hAnsi="Times New Roman"/>
          <w:sz w:val="22"/>
        </w:rPr>
        <w:t>. Il s’agit d’un droit pour chaque agent et d’un devoir pour toute personne placée en situation de management. Tous les agents doivent donc se voir proposer un entretien professionnel, y compris ceux ayant effectué une mobilité en cours d'année qui doivent également bénéficier d'un entretien assorti d'objectifs, en complément des appréciations recueillies auprès de leur ancien service.</w:t>
      </w:r>
    </w:p>
    <w:p w:rsidR="00B716A7" w:rsidRDefault="00B716A7">
      <w:pPr>
        <w:pStyle w:val="Standard"/>
        <w:suppressAutoHyphens w:val="0"/>
        <w:spacing w:after="57"/>
        <w:jc w:val="both"/>
        <w:rPr>
          <w:rFonts w:ascii="Times New Roman" w:hAnsi="Times New Roman"/>
          <w:sz w:val="22"/>
        </w:rPr>
      </w:pPr>
    </w:p>
    <w:p w:rsidR="009936C3" w:rsidRDefault="00CF2769">
      <w:pPr>
        <w:pStyle w:val="Standard"/>
        <w:suppressAutoHyphens w:val="0"/>
        <w:spacing w:after="57"/>
        <w:jc w:val="both"/>
        <w:rPr>
          <w:rFonts w:ascii="Times New Roman" w:hAnsi="Times New Roman"/>
          <w:sz w:val="22"/>
        </w:rPr>
      </w:pPr>
      <w:r>
        <w:rPr>
          <w:rFonts w:ascii="Times New Roman" w:hAnsi="Times New Roman"/>
          <w:sz w:val="22"/>
        </w:rPr>
        <w:lastRenderedPageBreak/>
        <w:t>L'entretien professionnel est une occasion privilégiée de rappeler à l'agent l'existence des procédures d'évaluation par un comité scientifique et technique de domaine s'il exerce des fonctions à caractère scientifique et technique depuis au moins cinq ans dans le même domaine, ou par le comité d’évaluation scientifique des agents de catégorie A exerçant une activité de recherche (CESAAR) s'il y a lieu, et d'évoquer avec lui son inscription éventuelle dans ces dispositifs.</w:t>
      </w:r>
    </w:p>
    <w:p w:rsidR="009936C3" w:rsidRDefault="00CF2769">
      <w:pPr>
        <w:pStyle w:val="Textbody"/>
        <w:suppressAutoHyphens w:val="0"/>
        <w:spacing w:after="57" w:line="240" w:lineRule="auto"/>
        <w:jc w:val="both"/>
      </w:pPr>
      <w:r>
        <w:rPr>
          <w:rFonts w:ascii="Times New Roman" w:hAnsi="Times New Roman" w:cs="Times New Roman"/>
          <w:sz w:val="22"/>
        </w:rPr>
        <w:t xml:space="preserve">Par ailleurs, l’actualité sociale met l’accent sur la </w:t>
      </w:r>
      <w:r>
        <w:rPr>
          <w:rFonts w:ascii="Times New Roman" w:hAnsi="Times New Roman" w:cs="Times New Roman"/>
          <w:sz w:val="22"/>
          <w:u w:val="single"/>
        </w:rPr>
        <w:t>prévention de la santé et la sécurité au travail</w:t>
      </w:r>
      <w:r>
        <w:rPr>
          <w:rFonts w:ascii="Times New Roman" w:hAnsi="Times New Roman" w:cs="Times New Roman"/>
          <w:sz w:val="22"/>
        </w:rPr>
        <w:t xml:space="preserve"> dans la fonction publique et sur l’</w:t>
      </w:r>
      <w:r>
        <w:rPr>
          <w:rFonts w:ascii="Times New Roman" w:hAnsi="Times New Roman" w:cs="Times New Roman"/>
          <w:sz w:val="22"/>
          <w:u w:val="single"/>
        </w:rPr>
        <w:t>égalité professionnelle entre les hommes et les femmes</w:t>
      </w:r>
      <w:r>
        <w:rPr>
          <w:rFonts w:ascii="Times New Roman" w:hAnsi="Times New Roman" w:cs="Times New Roman"/>
          <w:sz w:val="22"/>
        </w:rPr>
        <w:t>. La campagne des entretiens professionnels est l’occasion de sensibiliser les managers au rôle qu’ils ont à jouer dans ces domaines.</w:t>
      </w:r>
    </w:p>
    <w:p w:rsidR="009936C3" w:rsidRDefault="00CF2769">
      <w:pPr>
        <w:pStyle w:val="Standard"/>
        <w:suppressAutoHyphens w:val="0"/>
        <w:spacing w:before="360" w:after="120"/>
        <w:rPr>
          <w:rFonts w:ascii="Times New Roman" w:hAnsi="Times New Roman"/>
          <w:b/>
          <w:bCs/>
          <w:sz w:val="22"/>
        </w:rPr>
      </w:pPr>
      <w:r>
        <w:rPr>
          <w:rFonts w:ascii="Times New Roman" w:hAnsi="Times New Roman"/>
          <w:b/>
          <w:bCs/>
          <w:sz w:val="22"/>
        </w:rPr>
        <w:t>Le guide de l’utilisateur et les annexes</w:t>
      </w:r>
    </w:p>
    <w:p w:rsidR="009936C3" w:rsidRDefault="00CF2769">
      <w:pPr>
        <w:pStyle w:val="Standard"/>
        <w:suppressAutoHyphens w:val="0"/>
        <w:spacing w:after="57"/>
        <w:jc w:val="both"/>
        <w:rPr>
          <w:rFonts w:ascii="Times New Roman" w:hAnsi="Times New Roman"/>
          <w:sz w:val="22"/>
        </w:rPr>
      </w:pPr>
      <w:r>
        <w:rPr>
          <w:rFonts w:ascii="Times New Roman" w:hAnsi="Times New Roman"/>
          <w:sz w:val="22"/>
        </w:rPr>
        <w:t>Pour accompagner le supérieur hiérarchique direct et l’agent dans l’exercice de l’entretien professionnel, un guide d’utilisation du support de compte rendu d’entretien professionnel figure en annexe 3.</w:t>
      </w:r>
    </w:p>
    <w:p w:rsidR="009936C3" w:rsidRDefault="00CF2769" w:rsidP="0004310F">
      <w:pPr>
        <w:pStyle w:val="Corpsdetexte22"/>
        <w:spacing w:before="0" w:after="0"/>
      </w:pPr>
      <w:r>
        <w:rPr>
          <w:rFonts w:ascii="Times New Roman" w:hAnsi="Times New Roman"/>
          <w:sz w:val="22"/>
        </w:rPr>
        <w:t>Les annexes de la note de gestion sont également accessibles sur</w:t>
      </w:r>
      <w:r w:rsidR="00B716A7">
        <w:rPr>
          <w:rFonts w:ascii="Times New Roman" w:hAnsi="Times New Roman"/>
          <w:sz w:val="22"/>
        </w:rPr>
        <w:t xml:space="preserve"> le </w:t>
      </w:r>
      <w:r w:rsidR="00F46208" w:rsidRPr="00F46208">
        <w:rPr>
          <w:rFonts w:ascii="Times New Roman" w:hAnsi="Times New Roman"/>
          <w:sz w:val="22"/>
        </w:rPr>
        <w:t>portail de l’intranet du pôle ministériel</w:t>
      </w:r>
      <w:r w:rsidR="00B716A7">
        <w:rPr>
          <w:rFonts w:ascii="Times New Roman" w:hAnsi="Times New Roman"/>
          <w:sz w:val="22"/>
        </w:rPr>
        <w:t xml:space="preserve"> et sur</w:t>
      </w:r>
      <w:r>
        <w:rPr>
          <w:rFonts w:ascii="Times New Roman" w:hAnsi="Times New Roman"/>
          <w:sz w:val="22"/>
        </w:rPr>
        <w:t xml:space="preserve"> le</w:t>
      </w:r>
      <w:r w:rsidR="00D85CD1" w:rsidRPr="00D85CD1">
        <w:rPr>
          <w:rFonts w:ascii="Arial" w:hAnsi="Arial"/>
          <w:sz w:val="20"/>
          <w:szCs w:val="20"/>
        </w:rPr>
        <w:t xml:space="preserve"> </w:t>
      </w:r>
      <w:r w:rsidR="00D85CD1" w:rsidRPr="00A62D30">
        <w:rPr>
          <w:rFonts w:ascii="Arial" w:hAnsi="Arial"/>
          <w:sz w:val="20"/>
          <w:szCs w:val="20"/>
        </w:rPr>
        <w:t xml:space="preserve">portail RH de la DRH des MTE/MCTRCT/Mer à l’adresse suivante : </w:t>
      </w:r>
      <w:hyperlink r:id="rId14" w:history="1">
        <w:r w:rsidR="00D85CD1" w:rsidRPr="00A62D30">
          <w:rPr>
            <w:rStyle w:val="Internetlink"/>
            <w:rFonts w:ascii="Arial" w:hAnsi="Arial"/>
            <w:sz w:val="20"/>
            <w:szCs w:val="20"/>
          </w:rPr>
          <w:t>http://rh.metier.din.developpement-durable.gouv.fr/evaluation-avancement-et-promotion-r56.html</w:t>
        </w:r>
      </w:hyperlink>
    </w:p>
    <w:p w:rsidR="009936C3" w:rsidRDefault="00CF2769">
      <w:pPr>
        <w:pStyle w:val="Textbody"/>
        <w:spacing w:after="0" w:line="240" w:lineRule="auto"/>
      </w:pPr>
      <w:r>
        <w:rPr>
          <w:rStyle w:val="Internetlink"/>
          <w:rFonts w:ascii="Times New Roman" w:hAnsi="Times New Roman"/>
          <w:color w:val="auto"/>
          <w:sz w:val="22"/>
          <w:u w:val="none"/>
        </w:rPr>
        <w:t>Les agents des MTE-MCTRCT-Mer n’ayant pas accès à l’intranet peuvent accéder à l'extranet en faisant une demande auprès de la mission évaluation (SG/DRH/G/DAGRH/BAPG) :</w:t>
      </w:r>
    </w:p>
    <w:p w:rsidR="009936C3" w:rsidRDefault="00D6648A">
      <w:pPr>
        <w:pStyle w:val="Textbody"/>
        <w:jc w:val="center"/>
      </w:pPr>
      <w:hyperlink r:id="rId15" w:history="1">
        <w:r w:rsidR="00CF2769" w:rsidRPr="00603AD0">
          <w:rPr>
            <w:rStyle w:val="Lienhypertexte"/>
            <w:rFonts w:ascii="Times New Roman" w:hAnsi="Times New Roman"/>
            <w:sz w:val="22"/>
            <w:szCs w:val="22"/>
          </w:rPr>
          <w:t>entretiens-professionnels@developpement-durable.gouv.fr</w:t>
        </w:r>
      </w:hyperlink>
    </w:p>
    <w:p w:rsidR="009936C3" w:rsidRDefault="009936C3">
      <w:pPr>
        <w:pStyle w:val="NormalWeb"/>
        <w:spacing w:before="0" w:after="0"/>
        <w:ind w:left="993"/>
        <w:jc w:val="both"/>
        <w:rPr>
          <w:rFonts w:ascii="Times New Roman" w:eastAsia="Times New Roman" w:hAnsi="Times New Roman" w:cs="Times New Roman"/>
          <w:sz w:val="22"/>
        </w:rPr>
      </w:pPr>
    </w:p>
    <w:p w:rsidR="009936C3" w:rsidRDefault="00CF2769">
      <w:pPr>
        <w:pStyle w:val="Titre1"/>
        <w:spacing w:before="0"/>
        <w:rPr>
          <w:rFonts w:ascii="Times New Roman" w:hAnsi="Times New Roman"/>
        </w:rPr>
      </w:pPr>
      <w:r>
        <w:rPr>
          <w:rFonts w:ascii="Times New Roman" w:hAnsi="Times New Roman"/>
        </w:rPr>
        <w:t>Le classement des comptes rendus d’entretien professionnel</w:t>
      </w:r>
    </w:p>
    <w:p w:rsidR="009936C3" w:rsidRDefault="00CF2769">
      <w:pPr>
        <w:pStyle w:val="Standard"/>
        <w:suppressAutoHyphens w:val="0"/>
        <w:spacing w:after="57"/>
        <w:jc w:val="both"/>
      </w:pPr>
      <w:r>
        <w:rPr>
          <w:rFonts w:ascii="Times New Roman" w:hAnsi="Times New Roman"/>
          <w:sz w:val="22"/>
        </w:rPr>
        <w:t xml:space="preserve">Les comptes rendus d'entretien professionnel des IPEF, sont à adresser au CEIGIPEF, </w:t>
      </w:r>
      <w:r w:rsidR="00317250">
        <w:rPr>
          <w:rFonts w:ascii="Times New Roman" w:hAnsi="Times New Roman"/>
          <w:b/>
          <w:sz w:val="22"/>
          <w:u w:val="single"/>
        </w:rPr>
        <w:t xml:space="preserve">au plus tard le </w:t>
      </w:r>
      <w:r w:rsidR="00B93431">
        <w:rPr>
          <w:rFonts w:ascii="Times New Roman" w:hAnsi="Times New Roman"/>
          <w:b/>
          <w:sz w:val="22"/>
          <w:u w:val="single"/>
        </w:rPr>
        <w:t>29</w:t>
      </w:r>
      <w:r>
        <w:rPr>
          <w:rFonts w:ascii="Times New Roman" w:hAnsi="Times New Roman"/>
          <w:b/>
          <w:sz w:val="22"/>
          <w:u w:val="single"/>
        </w:rPr>
        <w:t xml:space="preserve"> avril 202</w:t>
      </w:r>
      <w:r w:rsidR="00B93431">
        <w:rPr>
          <w:rFonts w:ascii="Times New Roman" w:hAnsi="Times New Roman"/>
          <w:b/>
          <w:sz w:val="22"/>
          <w:u w:val="single"/>
        </w:rPr>
        <w:t>2</w:t>
      </w:r>
      <w:r>
        <w:rPr>
          <w:rFonts w:ascii="Times New Roman" w:hAnsi="Times New Roman"/>
          <w:sz w:val="22"/>
        </w:rPr>
        <w:t>, sous le timbre :</w:t>
      </w:r>
    </w:p>
    <w:p w:rsidR="009936C3" w:rsidRDefault="00CF2769">
      <w:pPr>
        <w:pStyle w:val="Standard"/>
        <w:suppressAutoHyphens w:val="0"/>
        <w:autoSpaceDE w:val="0"/>
        <w:snapToGrid w:val="0"/>
        <w:spacing w:after="57"/>
        <w:jc w:val="center"/>
      </w:pPr>
      <w:r>
        <w:rPr>
          <w:rFonts w:ascii="Times New Roman" w:eastAsia="SimSun, 宋体" w:hAnsi="Times New Roman" w:cs="Times New Roman"/>
          <w:b/>
          <w:bCs/>
          <w:sz w:val="22"/>
          <w:szCs w:val="22"/>
          <w:u w:val="single"/>
          <w:lang w:bidi="ar-SA"/>
        </w:rPr>
        <w:t>Centre interministériel de gestion des IPEF (CEIGIPEF)</w:t>
      </w:r>
      <w:r>
        <w:rPr>
          <w:rFonts w:ascii="Times New Roman" w:eastAsia="SimSun, 宋体" w:hAnsi="Times New Roman" w:cs="Times New Roman"/>
          <w:b/>
          <w:bCs/>
          <w:sz w:val="22"/>
          <w:szCs w:val="22"/>
          <w:u w:val="single"/>
          <w:lang w:bidi="ar-SA"/>
        </w:rPr>
        <w:br/>
      </w:r>
      <w:r>
        <w:rPr>
          <w:rFonts w:ascii="Times New Roman" w:eastAsia="SimSun, 宋体" w:hAnsi="Times New Roman" w:cs="Times New Roman"/>
          <w:b/>
          <w:bCs/>
          <w:sz w:val="22"/>
          <w:szCs w:val="22"/>
          <w:lang w:bidi="ar-SA"/>
        </w:rPr>
        <w:t>MAA/SG/SRH/SDCAR/CEIGIPEF</w:t>
      </w:r>
      <w:r>
        <w:rPr>
          <w:rFonts w:ascii="Times New Roman" w:eastAsia="SimSun, 宋体" w:hAnsi="Times New Roman" w:cs="Times New Roman"/>
          <w:b/>
          <w:bCs/>
          <w:sz w:val="22"/>
          <w:szCs w:val="22"/>
          <w:lang w:bidi="ar-SA"/>
        </w:rPr>
        <w:br/>
      </w:r>
      <w:r w:rsidR="00B93431">
        <w:rPr>
          <w:rFonts w:ascii="Times New Roman" w:eastAsia="SimSun, 宋体" w:hAnsi="Times New Roman" w:cs="Times New Roman"/>
          <w:b/>
          <w:bCs/>
          <w:sz w:val="22"/>
          <w:szCs w:val="22"/>
          <w:lang w:bidi="ar-SA"/>
        </w:rPr>
        <w:t>78, rue de Varenne</w:t>
      </w:r>
    </w:p>
    <w:p w:rsidR="009936C3" w:rsidRDefault="00B93431">
      <w:pPr>
        <w:pStyle w:val="Standard"/>
        <w:autoSpaceDE w:val="0"/>
        <w:snapToGrid w:val="0"/>
        <w:spacing w:after="57"/>
        <w:jc w:val="center"/>
        <w:rPr>
          <w:rFonts w:ascii="Times New Roman" w:eastAsia="SimSun, 宋体" w:hAnsi="Times New Roman" w:cs="Times New Roman"/>
          <w:b/>
          <w:bCs/>
          <w:sz w:val="22"/>
          <w:szCs w:val="22"/>
          <w:lang w:bidi="ar-SA"/>
        </w:rPr>
      </w:pPr>
      <w:r>
        <w:rPr>
          <w:rFonts w:ascii="Times New Roman" w:eastAsia="SimSun, 宋体" w:hAnsi="Times New Roman" w:cs="Times New Roman"/>
          <w:b/>
          <w:bCs/>
          <w:sz w:val="22"/>
          <w:szCs w:val="22"/>
          <w:lang w:bidi="ar-SA"/>
        </w:rPr>
        <w:t>75349 Paris 07 SP</w:t>
      </w:r>
    </w:p>
    <w:p w:rsidR="009936C3" w:rsidRDefault="009936C3">
      <w:pPr>
        <w:pStyle w:val="Standard"/>
        <w:suppressAutoHyphens w:val="0"/>
        <w:autoSpaceDE w:val="0"/>
        <w:snapToGrid w:val="0"/>
        <w:spacing w:after="57"/>
        <w:jc w:val="center"/>
        <w:rPr>
          <w:rFonts w:ascii="Times New Roman" w:hAnsi="Times New Roman"/>
          <w:sz w:val="22"/>
          <w:szCs w:val="22"/>
        </w:rPr>
      </w:pPr>
    </w:p>
    <w:p w:rsidR="009936C3" w:rsidRDefault="00CF2769">
      <w:pPr>
        <w:pStyle w:val="Standard"/>
        <w:suppressAutoHyphens w:val="0"/>
        <w:spacing w:before="278" w:after="261"/>
        <w:jc w:val="both"/>
      </w:pPr>
      <w:r>
        <w:rPr>
          <w:rFonts w:ascii="Times New Roman" w:hAnsi="Times New Roman"/>
          <w:sz w:val="22"/>
          <w:szCs w:val="22"/>
        </w:rPr>
        <w:t xml:space="preserve">Pour toute question relative à la mise en œuvre de ce dispositif, les services et les agents peuvent s’adresser au </w:t>
      </w:r>
      <w:r>
        <w:rPr>
          <w:rFonts w:ascii="Times New Roman" w:hAnsi="Times New Roman" w:cs="Times New Roman"/>
          <w:sz w:val="22"/>
          <w:szCs w:val="22"/>
        </w:rPr>
        <w:t xml:space="preserve">CEIGIPEF, à l’adresse électronique suivante : </w:t>
      </w:r>
      <w:hyperlink r:id="rId16" w:history="1">
        <w:r>
          <w:rPr>
            <w:rStyle w:val="Internetlink"/>
            <w:rFonts w:ascii="Times New Roman" w:hAnsi="Times New Roman" w:cs="Times New Roman"/>
            <w:sz w:val="22"/>
            <w:szCs w:val="22"/>
          </w:rPr>
          <w:t>ceigipef.g.drh.sg@developpement-durable.gouv.fr</w:t>
        </w:r>
      </w:hyperlink>
    </w:p>
    <w:sectPr w:rsidR="009936C3">
      <w:headerReference w:type="default" r:id="rId17"/>
      <w:footerReference w:type="default" r:id="rId18"/>
      <w:pgSz w:w="11906" w:h="16838"/>
      <w:pgMar w:top="776" w:right="1134" w:bottom="1224" w:left="1134" w:header="720" w:footer="5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8A" w:rsidRDefault="00D6648A">
      <w:r>
        <w:separator/>
      </w:r>
    </w:p>
  </w:endnote>
  <w:endnote w:type="continuationSeparator" w:id="0">
    <w:p w:rsidR="00D6648A" w:rsidRDefault="00D6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Arial Unicode MS'">
    <w:charset w:val="02"/>
    <w:family w:val="auto"/>
    <w:pitch w:val="default"/>
  </w:font>
  <w:font w:name="OpenSymbol, '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D22" w:rsidRDefault="00CF2769">
    <w:pPr>
      <w:pStyle w:val="Pieddepage"/>
      <w:jc w:val="right"/>
    </w:pPr>
    <w:r>
      <w:fldChar w:fldCharType="begin"/>
    </w:r>
    <w:r>
      <w:instrText xml:space="preserve"> PAGE </w:instrText>
    </w:r>
    <w:r>
      <w:fldChar w:fldCharType="separate"/>
    </w:r>
    <w:r w:rsidR="009756C9">
      <w:rPr>
        <w:noProof/>
      </w:rPr>
      <w:t>1</w:t>
    </w:r>
    <w:r>
      <w:fldChar w:fldCharType="end"/>
    </w:r>
    <w:r>
      <w:t>/</w:t>
    </w:r>
    <w:fldSimple w:instr=" NUMPAGES ">
      <w:r w:rsidR="009756C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8A" w:rsidRDefault="00D6648A">
      <w:r>
        <w:rPr>
          <w:color w:val="000000"/>
        </w:rPr>
        <w:separator/>
      </w:r>
    </w:p>
  </w:footnote>
  <w:footnote w:type="continuationSeparator" w:id="0">
    <w:p w:rsidR="00D6648A" w:rsidRDefault="00D6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D22" w:rsidRDefault="00D6648A">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42434"/>
    <w:multiLevelType w:val="multilevel"/>
    <w:tmpl w:val="3648F11C"/>
    <w:styleLink w:val="WW8Num30"/>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 w15:restartNumberingAfterBreak="0">
    <w:nsid w:val="2EE65822"/>
    <w:multiLevelType w:val="multilevel"/>
    <w:tmpl w:val="9062815A"/>
    <w:styleLink w:val="WW8Num31"/>
    <w:lvl w:ilvl="0">
      <w:start w:val="1"/>
      <w:numFmt w:val="none"/>
      <w:suff w:val="nothing"/>
      <w:lvlText w:val="%1"/>
      <w:lvlJc w:val="left"/>
      <w:pPr>
        <w:ind w:left="432" w:hanging="432"/>
      </w:pPr>
      <w:rPr>
        <w:rFonts w:ascii="Symbol" w:hAnsi="Symbol" w:cs="Symbol"/>
        <w:sz w:val="20"/>
      </w:rPr>
    </w:lvl>
    <w:lvl w:ilvl="1">
      <w:start w:val="1"/>
      <w:numFmt w:val="none"/>
      <w:suff w:val="nothing"/>
      <w:lvlText w:val="%2"/>
      <w:lvlJc w:val="left"/>
      <w:pPr>
        <w:ind w:left="576" w:hanging="576"/>
      </w:pPr>
      <w:rPr>
        <w:rFonts w:ascii="Courier New" w:hAnsi="Courier New" w:cs="Courier New"/>
        <w:sz w:val="20"/>
      </w:rPr>
    </w:lvl>
    <w:lvl w:ilvl="2">
      <w:start w:val="1"/>
      <w:numFmt w:val="none"/>
      <w:suff w:val="nothing"/>
      <w:lvlText w:val="%3"/>
      <w:lvlJc w:val="left"/>
      <w:pPr>
        <w:ind w:left="720" w:hanging="720"/>
      </w:pPr>
      <w:rPr>
        <w:rFonts w:ascii="Wingdings" w:hAnsi="Wingdings" w:cs="Wingdings"/>
        <w:sz w:val="20"/>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7F890129"/>
    <w:multiLevelType w:val="multilevel"/>
    <w:tmpl w:val="5DB208CE"/>
    <w:styleLink w:val="WW8Num2"/>
    <w:lvl w:ilvl="0">
      <w:start w:val="1"/>
      <w:numFmt w:val="none"/>
      <w:suff w:val="nothing"/>
      <w:lvlText w:val="%1"/>
      <w:lvlJc w:val="left"/>
      <w:pPr>
        <w:ind w:left="432" w:hanging="432"/>
      </w:pPr>
      <w:rPr>
        <w:rFonts w:ascii="Liberation Sans" w:hAnsi="Liberation Sans" w:cs="Liberation Sans"/>
        <w:sz w:val="22"/>
        <w:szCs w:val="22"/>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rPr>
        <w:rFonts w:cs="Arial"/>
        <w:b w:val="0"/>
        <w:bCs w:val="0"/>
        <w:i/>
        <w:iCs/>
        <w:sz w:val="20"/>
        <w:szCs w:val="20"/>
      </w:r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C3"/>
    <w:rsid w:val="0004310F"/>
    <w:rsid w:val="00137BFF"/>
    <w:rsid w:val="00216C1E"/>
    <w:rsid w:val="002F48FC"/>
    <w:rsid w:val="00317250"/>
    <w:rsid w:val="00326EB4"/>
    <w:rsid w:val="00573285"/>
    <w:rsid w:val="00603AD0"/>
    <w:rsid w:val="00682B81"/>
    <w:rsid w:val="00810261"/>
    <w:rsid w:val="00890088"/>
    <w:rsid w:val="009756C9"/>
    <w:rsid w:val="009936C3"/>
    <w:rsid w:val="00B716A7"/>
    <w:rsid w:val="00B93431"/>
    <w:rsid w:val="00CF2769"/>
    <w:rsid w:val="00D6648A"/>
    <w:rsid w:val="00D722F1"/>
    <w:rsid w:val="00D85CD1"/>
    <w:rsid w:val="00F46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0AAA8-9813-40EA-B7AD-E68398CB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Textbody"/>
    <w:pPr>
      <w:keepNext/>
      <w:suppressAutoHyphens w:val="0"/>
      <w:spacing w:before="360" w:after="120"/>
      <w:outlineLvl w:val="0"/>
    </w:pPr>
    <w:rPr>
      <w:b/>
      <w:bCs/>
      <w:sz w:val="22"/>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color w:val="808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tabs>
        <w:tab w:val="center" w:pos="4536"/>
        <w:tab w:val="right" w:pos="9072"/>
      </w:tabs>
    </w:pPr>
  </w:style>
  <w:style w:type="paragraph" w:customStyle="1" w:styleId="Corpsdetexte22">
    <w:name w:val="Corps de texte 22"/>
    <w:basedOn w:val="Standard"/>
    <w:pPr>
      <w:suppressAutoHyphens w:val="0"/>
      <w:spacing w:before="278" w:after="261"/>
      <w:jc w:val="both"/>
    </w:pPr>
  </w:style>
  <w:style w:type="paragraph" w:styleId="NormalWeb">
    <w:name w:val="Normal (Web)"/>
    <w:basedOn w:val="Standard"/>
    <w:pPr>
      <w:spacing w:before="280" w:after="119"/>
    </w:pPr>
    <w:rPr>
      <w:rFonts w:ascii="Liberation Sans" w:eastAsia="SimSun, 宋体" w:hAnsi="Liberation Sans" w:cs="Liberation Sans"/>
    </w:rPr>
  </w:style>
  <w:style w:type="paragraph" w:styleId="En-tte">
    <w:name w:val="header"/>
    <w:basedOn w:val="Standard"/>
    <w:pPr>
      <w:suppressLineNumbers/>
      <w:tabs>
        <w:tab w:val="center" w:pos="5386"/>
        <w:tab w:val="right" w:pos="10772"/>
      </w:tabs>
    </w:pPr>
  </w:style>
  <w:style w:type="paragraph" w:customStyle="1" w:styleId="m-corpstexte">
    <w:name w:val="m-corps texte"/>
    <w:basedOn w:val="Standard"/>
    <w:pPr>
      <w:spacing w:after="261"/>
      <w:jc w:val="both"/>
    </w:pPr>
  </w:style>
  <w:style w:type="paragraph" w:customStyle="1" w:styleId="Footnote">
    <w:name w:val="Footnote"/>
    <w:basedOn w:val="Standard"/>
    <w:pPr>
      <w:suppressLineNumbers/>
      <w:ind w:left="339" w:hanging="339"/>
    </w:pPr>
    <w:rPr>
      <w:sz w:val="20"/>
      <w:szCs w:val="20"/>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paragraph" w:customStyle="1" w:styleId="PreformattedText">
    <w:name w:val="Preformatted Text"/>
    <w:basedOn w:val="Standard"/>
    <w:rPr>
      <w:rFonts w:ascii="Liberation Mono" w:eastAsia="NSimSun" w:hAnsi="Liberation Mono" w:cs="Liberation Mono"/>
      <w:sz w:val="20"/>
      <w:szCs w:val="20"/>
    </w:rPr>
  </w:style>
  <w:style w:type="character" w:customStyle="1" w:styleId="WW-Policepardfaut111111111111">
    <w:name w:val="WW-Police par défaut111111111111"/>
  </w:style>
  <w:style w:type="character" w:customStyle="1" w:styleId="Internetlink">
    <w:name w:val="Internet link"/>
    <w:basedOn w:val="WW-Policepardfaut111111111111"/>
    <w:rPr>
      <w:color w:val="0000FF"/>
      <w:u w:val="single"/>
    </w:rPr>
  </w:style>
  <w:style w:type="character" w:customStyle="1" w:styleId="VisitedInternetLink">
    <w:name w:val="Visited Internet Link"/>
    <w:basedOn w:val="WW-Policepardfaut111111111111"/>
    <w:rPr>
      <w:color w:val="800080"/>
      <w:u w:val="single"/>
    </w:rPr>
  </w:style>
  <w:style w:type="character" w:customStyle="1" w:styleId="WW8Num31z0">
    <w:name w:val="WW8Num31z0"/>
    <w:rPr>
      <w:rFonts w:ascii="Symbol" w:eastAsia="Symbol" w:hAnsi="Symbol" w:cs="Symbol"/>
      <w:sz w:val="20"/>
    </w:rPr>
  </w:style>
  <w:style w:type="character" w:customStyle="1" w:styleId="WW8Num31z1">
    <w:name w:val="WW8Num31z1"/>
    <w:rPr>
      <w:rFonts w:ascii="Courier New" w:eastAsia="Courier New" w:hAnsi="Courier New" w:cs="Courier New"/>
      <w:sz w:val="20"/>
    </w:rPr>
  </w:style>
  <w:style w:type="character" w:customStyle="1" w:styleId="WW8Num31z2">
    <w:name w:val="WW8Num31z2"/>
    <w:rPr>
      <w:rFonts w:ascii="Wingdings" w:eastAsia="Wingdings" w:hAnsi="Wingdings" w:cs="Wingdings"/>
      <w:sz w:val="20"/>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z0">
    <w:name w:val="WW8Num2z0"/>
    <w:rPr>
      <w:rFonts w:ascii="Liberation Sans" w:eastAsia="Liberation Sans" w:hAnsi="Liberation Sans" w:cs="Liberation San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cs="Arial"/>
      <w:b w:val="0"/>
      <w:bCs w:val="0"/>
      <w:i/>
      <w:iCs/>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0z0">
    <w:name w:val="WW8Num30z0"/>
    <w:rPr>
      <w:rFonts w:ascii="Symbol" w:eastAsia="Symbol" w:hAnsi="Symbol" w:cs="StarSymbol, 'Arial Unicode MS'"/>
      <w:sz w:val="18"/>
      <w:szCs w:val="18"/>
    </w:rPr>
  </w:style>
  <w:style w:type="character" w:customStyle="1" w:styleId="WW8Num30z1">
    <w:name w:val="WW8Num30z1"/>
    <w:rPr>
      <w:rFonts w:ascii="OpenSymbol, 'Arial Unicode MS'" w:eastAsia="OpenSymbol, 'Arial Unicode MS'" w:hAnsi="OpenSymbol, 'Arial Unicode MS'" w:cs="StarSymbol, 'Arial Unicode MS'"/>
      <w:sz w:val="18"/>
      <w:szCs w:val="18"/>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olicepardfaut1">
    <w:name w:val="Police par défaut1"/>
  </w:style>
  <w:style w:type="character" w:customStyle="1" w:styleId="CorpsdetexteCar">
    <w:name w:val="Corps de texte Car"/>
    <w:basedOn w:val="Policepardfaut1"/>
    <w:rPr>
      <w:sz w:val="24"/>
      <w:szCs w:val="24"/>
      <w:lang w:val="fr-FR" w:bidi="ar-SA"/>
    </w:rPr>
  </w:style>
  <w:style w:type="character" w:customStyle="1" w:styleId="StrongEmphasis">
    <w:name w:val="Strong Emphasis"/>
    <w:basedOn w:val="WW-Policepardfaut111111111111"/>
    <w:rPr>
      <w:b/>
      <w:bCs/>
    </w:rPr>
  </w:style>
  <w:style w:type="paragraph" w:styleId="PrformatHTML">
    <w:name w:val="HTML Preformatted"/>
    <w:basedOn w:val="Normal"/>
    <w:rPr>
      <w:rFonts w:ascii="Consolas" w:hAnsi="Consolas"/>
      <w:sz w:val="20"/>
      <w:szCs w:val="18"/>
    </w:rPr>
  </w:style>
  <w:style w:type="character" w:customStyle="1" w:styleId="PrformatHTMLCar">
    <w:name w:val="Préformaté HTML Car"/>
    <w:basedOn w:val="Policepardfaut"/>
    <w:rPr>
      <w:rFonts w:ascii="Consolas" w:hAnsi="Consolas"/>
      <w:sz w:val="20"/>
      <w:szCs w:val="18"/>
    </w:rPr>
  </w:style>
  <w:style w:type="numbering" w:customStyle="1" w:styleId="WW8Num31">
    <w:name w:val="WW8Num31"/>
    <w:basedOn w:val="Aucuneliste"/>
    <w:pPr>
      <w:numPr>
        <w:numId w:val="1"/>
      </w:numPr>
    </w:pPr>
  </w:style>
  <w:style w:type="numbering" w:customStyle="1" w:styleId="WW8Num2">
    <w:name w:val="WW8Num2"/>
    <w:basedOn w:val="Aucuneliste"/>
    <w:pPr>
      <w:numPr>
        <w:numId w:val="2"/>
      </w:numPr>
    </w:pPr>
  </w:style>
  <w:style w:type="numbering" w:customStyle="1" w:styleId="WW8Num30">
    <w:name w:val="WW8Num30"/>
    <w:basedOn w:val="Aucuneliste"/>
    <w:pPr>
      <w:numPr>
        <w:numId w:val="3"/>
      </w:numPr>
    </w:pPr>
  </w:style>
  <w:style w:type="character" w:styleId="Lienhypertexte">
    <w:name w:val="Hyperlink"/>
    <w:basedOn w:val="Policepardfaut"/>
    <w:uiPriority w:val="99"/>
    <w:unhideWhenUsed/>
    <w:rsid w:val="00603AD0"/>
    <w:rPr>
      <w:color w:val="0563C1" w:themeColor="hyperlink"/>
      <w:u w:val="single"/>
    </w:rPr>
  </w:style>
  <w:style w:type="character" w:styleId="Lienhypertextesuivivisit">
    <w:name w:val="FollowedHyperlink"/>
    <w:basedOn w:val="Policepardfaut"/>
    <w:uiPriority w:val="99"/>
    <w:semiHidden/>
    <w:unhideWhenUsed/>
    <w:rsid w:val="00603AD0"/>
    <w:rPr>
      <w:color w:val="954F72" w:themeColor="followedHyperlink"/>
      <w:u w:val="single"/>
    </w:rPr>
  </w:style>
  <w:style w:type="paragraph" w:styleId="Textedebulles">
    <w:name w:val="Balloon Text"/>
    <w:basedOn w:val="Normal"/>
    <w:link w:val="TextedebullesCar"/>
    <w:uiPriority w:val="99"/>
    <w:semiHidden/>
    <w:unhideWhenUsed/>
    <w:rsid w:val="00137BFF"/>
    <w:rPr>
      <w:rFonts w:ascii="Segoe UI" w:hAnsi="Segoe UI"/>
      <w:sz w:val="18"/>
      <w:szCs w:val="16"/>
    </w:rPr>
  </w:style>
  <w:style w:type="character" w:customStyle="1" w:styleId="TextedebullesCar">
    <w:name w:val="Texte de bulles Car"/>
    <w:basedOn w:val="Policepardfaut"/>
    <w:link w:val="Textedebulles"/>
    <w:uiPriority w:val="99"/>
    <w:semiHidden/>
    <w:rsid w:val="00137BFF"/>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24248684" TargetMode="External"/><Relationship Id="rId13" Type="http://schemas.openxmlformats.org/officeDocument/2006/relationships/hyperlink" Target="https://www.legifrance.gouv.fr/affichTexte.do?cidTexte=JORFTEXT00003169116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affichTexte.do?cidTexte=JORFTEXT000022593931" TargetMode="External"/><Relationship Id="rId12" Type="http://schemas.openxmlformats.org/officeDocument/2006/relationships/hyperlink" Target="https://www.legifrance.gouv.fr/affichTexte.do?cidTexte=JORFTEXT000026998772&amp;fastPos=1&amp;fastReqId=1120161725&amp;categorieLien=cid&amp;oldAction=rechText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eigipef.g.drh.sg@developpement-durable.gouv.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do?cidTexte=JORFTEXT000026998772&amp;fastPos=1&amp;fastReqId=1120161725&amp;categorieLien=cid&amp;oldAction=rechTexte" TargetMode="External"/><Relationship Id="rId5" Type="http://schemas.openxmlformats.org/officeDocument/2006/relationships/footnotes" Target="footnotes.xml"/><Relationship Id="rId15" Type="http://schemas.openxmlformats.org/officeDocument/2006/relationships/hyperlink" Target="mailto:entretiens-professionnels@developpement-durable.gouv.fr" TargetMode="External"/><Relationship Id="rId10" Type="http://schemas.openxmlformats.org/officeDocument/2006/relationships/hyperlink" Target="https://www.legifrance.gouv.fr/affichTexte.do?cidTexte=JORFTEXT000026998772&amp;fastPos=1&amp;fastReqId=1120161725&amp;categorieLien=cid&amp;oldAction=rechTex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Texte.do?cidTexte=JORFTEXT000024248684" TargetMode="External"/><Relationship Id="rId14" Type="http://schemas.openxmlformats.org/officeDocument/2006/relationships/hyperlink" Target="http://rh.metier.din.developpement-durable.gouv.fr/evaluation-avancement-et-promotion-r5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5813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Rémy GAUBE</dc:creator>
  <cp:lastModifiedBy>GREAUD Odile</cp:lastModifiedBy>
  <cp:revision>2</cp:revision>
  <dcterms:created xsi:type="dcterms:W3CDTF">2022-01-20T15:34:00Z</dcterms:created>
  <dcterms:modified xsi:type="dcterms:W3CDTF">2022-01-20T15:34:00Z</dcterms:modified>
</cp:coreProperties>
</file>