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1431D" w14:textId="06F3C6DA" w:rsidR="004C4CB1" w:rsidRDefault="00BF1377">
      <w:pPr>
        <w:spacing w:before="1440"/>
      </w:pPr>
      <w:r w:rsidRPr="00BF1377">
        <w:rPr>
          <w:noProof/>
        </w:rPr>
        <w:drawing>
          <wp:inline distT="0" distB="0" distL="0" distR="0" wp14:anchorId="512058CF" wp14:editId="4775B23F">
            <wp:extent cx="3027600" cy="1594800"/>
            <wp:effectExtent l="0" t="0" r="0" b="0"/>
            <wp:docPr id="8" name="Graphique 7" descr="Ministères de la Transition écologique, de l'Aménagement du territoire, des Transports, de la Ville et du Logement">
              <a:extLst xmlns:a="http://schemas.openxmlformats.org/drawingml/2006/main">
                <a:ext uri="{FF2B5EF4-FFF2-40B4-BE49-F238E27FC236}">
                  <a16:creationId xmlns:a16="http://schemas.microsoft.com/office/drawing/2014/main" id="{3148B803-1364-BEA5-9C29-94B09E8B3A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que 7" descr="Ministères de la Transition écologique, de l'Aménagement du territoire, des Transports, de la Ville et du Logement">
                      <a:extLst>
                        <a:ext uri="{FF2B5EF4-FFF2-40B4-BE49-F238E27FC236}">
                          <a16:creationId xmlns:a16="http://schemas.microsoft.com/office/drawing/2014/main" id="{3148B803-1364-BEA5-9C29-94B09E8B3AE8}"/>
                        </a:ext>
                      </a:extLst>
                    </pic:cNvPr>
                    <pic:cNvPicPr>
                      <a:picLocks/>
                    </pic:cNvPicPr>
                  </pic:nvPicPr>
                  <pic:blipFill>
                    <a:blip r:embed="rId8">
                      <a:extLst>
                        <a:ext uri="{96DAC541-7B7A-43D3-8B79-37D633B846F1}">
                          <asvg:svgBlip xmlns:asvg="http://schemas.microsoft.com/office/drawing/2016/SVG/main" r:embed="rId9"/>
                        </a:ext>
                      </a:extLst>
                    </a:blip>
                    <a:stretch>
                      <a:fillRect/>
                    </a:stretch>
                  </pic:blipFill>
                  <pic:spPr>
                    <a:xfrm>
                      <a:off x="0" y="0"/>
                      <a:ext cx="3027600" cy="1594800"/>
                    </a:xfrm>
                    <a:prstGeom prst="rect">
                      <a:avLst/>
                    </a:prstGeom>
                  </pic:spPr>
                </pic:pic>
              </a:graphicData>
            </a:graphic>
          </wp:inline>
        </w:drawing>
      </w:r>
    </w:p>
    <w:p w14:paraId="13CB7432" w14:textId="77777777" w:rsidR="00BF1377" w:rsidRDefault="00BF1377">
      <w:pPr>
        <w:jc w:val="center"/>
        <w:rPr>
          <w:b/>
          <w:bCs/>
          <w:color w:val="1F4E79"/>
          <w:sz w:val="48"/>
          <w:szCs w:val="48"/>
        </w:rPr>
      </w:pPr>
    </w:p>
    <w:p w14:paraId="4B888627" w14:textId="4917A401" w:rsidR="004C4CB1" w:rsidRDefault="005130DD">
      <w:pPr>
        <w:jc w:val="center"/>
      </w:pPr>
      <w:r>
        <w:rPr>
          <w:b/>
          <w:bCs/>
          <w:color w:val="1F4E79"/>
          <w:sz w:val="48"/>
          <w:szCs w:val="48"/>
        </w:rPr>
        <w:t>COSUI</w:t>
      </w:r>
      <w:r w:rsidR="00A07813">
        <w:rPr>
          <w:b/>
          <w:bCs/>
          <w:color w:val="1F4E79"/>
          <w:sz w:val="48"/>
          <w:szCs w:val="48"/>
        </w:rPr>
        <w:t xml:space="preserve"> handicap du 26 mai 2026</w:t>
      </w:r>
    </w:p>
    <w:p w14:paraId="4F8F5F1B" w14:textId="77777777" w:rsidR="004C4CB1" w:rsidRDefault="00A07813">
      <w:pPr>
        <w:spacing w:before="240" w:after="240"/>
        <w:jc w:val="center"/>
      </w:pPr>
      <w:r>
        <w:rPr>
          <w:color w:val="2E74B5"/>
          <w:sz w:val="32"/>
          <w:szCs w:val="32"/>
        </w:rPr>
        <w:t>Procédure d'aménagement des épreuves d'examens et concours</w:t>
      </w:r>
    </w:p>
    <w:p w14:paraId="4A407FF3" w14:textId="77777777" w:rsidR="004C4CB1" w:rsidRDefault="00A07813">
      <w:pPr>
        <w:spacing w:before="480"/>
        <w:jc w:val="center"/>
      </w:pPr>
      <w:r>
        <w:rPr>
          <w:color w:val="666666"/>
        </w:rPr>
        <w:t>SG/DRH/D/RM1</w:t>
      </w:r>
    </w:p>
    <w:p w14:paraId="0805C1A3" w14:textId="50CE4908" w:rsidR="00487783" w:rsidRDefault="00A07813" w:rsidP="00BF1377">
      <w:pPr>
        <w:spacing w:before="120" w:after="1440"/>
        <w:jc w:val="center"/>
        <w:rPr>
          <w:color w:val="666666"/>
        </w:rPr>
      </w:pPr>
      <w:r>
        <w:rPr>
          <w:color w:val="666666"/>
        </w:rPr>
        <w:t>26 mai 2026</w:t>
      </w:r>
    </w:p>
    <w:sdt>
      <w:sdtPr>
        <w:rPr>
          <w:rFonts w:ascii="Arial" w:eastAsia="Arial" w:hAnsi="Arial" w:cs="Arial"/>
          <w:color w:val="000000"/>
          <w:sz w:val="24"/>
          <w:szCs w:val="24"/>
        </w:rPr>
        <w:id w:val="-938903150"/>
        <w:docPartObj>
          <w:docPartGallery w:val="Table of Contents"/>
          <w:docPartUnique/>
        </w:docPartObj>
      </w:sdtPr>
      <w:sdtEndPr>
        <w:rPr>
          <w:b/>
          <w:bCs/>
        </w:rPr>
      </w:sdtEndPr>
      <w:sdtContent>
        <w:p w14:paraId="211DE84C" w14:textId="6044A49E" w:rsidR="00487783" w:rsidRDefault="00487783">
          <w:pPr>
            <w:pStyle w:val="En-ttedetabledesmatires"/>
          </w:pPr>
          <w:r>
            <w:t>Table des matières</w:t>
          </w:r>
        </w:p>
        <w:p w14:paraId="179FF33F" w14:textId="5231D9A7" w:rsidR="00487783" w:rsidRDefault="00487783">
          <w:pPr>
            <w:pStyle w:val="TM1"/>
            <w:tabs>
              <w:tab w:val="right" w:leader="dot" w:pos="9016"/>
            </w:tabs>
            <w:rPr>
              <w:noProof/>
            </w:rPr>
          </w:pPr>
          <w:r>
            <w:fldChar w:fldCharType="begin"/>
          </w:r>
          <w:r>
            <w:instrText xml:space="preserve"> TOC \o "1-3" \h \z \u </w:instrText>
          </w:r>
          <w:r>
            <w:fldChar w:fldCharType="separate"/>
          </w:r>
          <w:hyperlink w:anchor="_Toc230354463" w:history="1">
            <w:r w:rsidRPr="00CC7E31">
              <w:rPr>
                <w:rStyle w:val="Lienhypertexte"/>
                <w:noProof/>
              </w:rPr>
              <w:t>Cadre réglementaire</w:t>
            </w:r>
            <w:r>
              <w:rPr>
                <w:noProof/>
                <w:webHidden/>
              </w:rPr>
              <w:tab/>
            </w:r>
            <w:r>
              <w:rPr>
                <w:noProof/>
                <w:webHidden/>
              </w:rPr>
              <w:fldChar w:fldCharType="begin"/>
            </w:r>
            <w:r>
              <w:rPr>
                <w:noProof/>
                <w:webHidden/>
              </w:rPr>
              <w:instrText xml:space="preserve"> PAGEREF _Toc230354463 \h </w:instrText>
            </w:r>
            <w:r>
              <w:rPr>
                <w:noProof/>
                <w:webHidden/>
              </w:rPr>
            </w:r>
            <w:r>
              <w:rPr>
                <w:noProof/>
                <w:webHidden/>
              </w:rPr>
              <w:fldChar w:fldCharType="separate"/>
            </w:r>
            <w:r>
              <w:rPr>
                <w:noProof/>
                <w:webHidden/>
              </w:rPr>
              <w:t>2</w:t>
            </w:r>
            <w:r>
              <w:rPr>
                <w:noProof/>
                <w:webHidden/>
              </w:rPr>
              <w:fldChar w:fldCharType="end"/>
            </w:r>
          </w:hyperlink>
        </w:p>
        <w:p w14:paraId="6E437972" w14:textId="0E00EC3D" w:rsidR="00487783" w:rsidRDefault="00076A68">
          <w:pPr>
            <w:pStyle w:val="TM1"/>
            <w:tabs>
              <w:tab w:val="right" w:leader="dot" w:pos="9016"/>
            </w:tabs>
            <w:rPr>
              <w:noProof/>
            </w:rPr>
          </w:pPr>
          <w:hyperlink w:anchor="_Toc230354464" w:history="1">
            <w:r w:rsidR="00487783" w:rsidRPr="00CC7E31">
              <w:rPr>
                <w:rStyle w:val="Lienhypertexte"/>
                <w:noProof/>
              </w:rPr>
              <w:t>Instruction des demandes d'aménagement</w:t>
            </w:r>
            <w:r w:rsidR="00487783">
              <w:rPr>
                <w:noProof/>
                <w:webHidden/>
              </w:rPr>
              <w:tab/>
            </w:r>
            <w:r w:rsidR="00487783">
              <w:rPr>
                <w:noProof/>
                <w:webHidden/>
              </w:rPr>
              <w:fldChar w:fldCharType="begin"/>
            </w:r>
            <w:r w:rsidR="00487783">
              <w:rPr>
                <w:noProof/>
                <w:webHidden/>
              </w:rPr>
              <w:instrText xml:space="preserve"> PAGEREF _Toc230354464 \h </w:instrText>
            </w:r>
            <w:r w:rsidR="00487783">
              <w:rPr>
                <w:noProof/>
                <w:webHidden/>
              </w:rPr>
            </w:r>
            <w:r w:rsidR="00487783">
              <w:rPr>
                <w:noProof/>
                <w:webHidden/>
              </w:rPr>
              <w:fldChar w:fldCharType="separate"/>
            </w:r>
            <w:r w:rsidR="00487783">
              <w:rPr>
                <w:noProof/>
                <w:webHidden/>
              </w:rPr>
              <w:t>3</w:t>
            </w:r>
            <w:r w:rsidR="00487783">
              <w:rPr>
                <w:noProof/>
                <w:webHidden/>
              </w:rPr>
              <w:fldChar w:fldCharType="end"/>
            </w:r>
          </w:hyperlink>
        </w:p>
        <w:p w14:paraId="2D970825" w14:textId="21202089" w:rsidR="00487783" w:rsidRDefault="00076A68">
          <w:pPr>
            <w:pStyle w:val="TM2"/>
            <w:tabs>
              <w:tab w:val="right" w:leader="dot" w:pos="9016"/>
            </w:tabs>
            <w:rPr>
              <w:noProof/>
            </w:rPr>
          </w:pPr>
          <w:hyperlink w:anchor="_Toc230354465" w:history="1">
            <w:r w:rsidR="00487783" w:rsidRPr="00CC7E31">
              <w:rPr>
                <w:rStyle w:val="Lienhypertexte"/>
                <w:noProof/>
              </w:rPr>
              <w:t>Application des textes par RM1</w:t>
            </w:r>
            <w:r w:rsidR="00487783">
              <w:rPr>
                <w:noProof/>
                <w:webHidden/>
              </w:rPr>
              <w:tab/>
            </w:r>
            <w:r w:rsidR="00487783">
              <w:rPr>
                <w:noProof/>
                <w:webHidden/>
              </w:rPr>
              <w:fldChar w:fldCharType="begin"/>
            </w:r>
            <w:r w:rsidR="00487783">
              <w:rPr>
                <w:noProof/>
                <w:webHidden/>
              </w:rPr>
              <w:instrText xml:space="preserve"> PAGEREF _Toc230354465 \h </w:instrText>
            </w:r>
            <w:r w:rsidR="00487783">
              <w:rPr>
                <w:noProof/>
                <w:webHidden/>
              </w:rPr>
            </w:r>
            <w:r w:rsidR="00487783">
              <w:rPr>
                <w:noProof/>
                <w:webHidden/>
              </w:rPr>
              <w:fldChar w:fldCharType="separate"/>
            </w:r>
            <w:r w:rsidR="00487783">
              <w:rPr>
                <w:noProof/>
                <w:webHidden/>
              </w:rPr>
              <w:t>3</w:t>
            </w:r>
            <w:r w:rsidR="00487783">
              <w:rPr>
                <w:noProof/>
                <w:webHidden/>
              </w:rPr>
              <w:fldChar w:fldCharType="end"/>
            </w:r>
          </w:hyperlink>
        </w:p>
        <w:p w14:paraId="1620457E" w14:textId="25EE8DFA" w:rsidR="00487783" w:rsidRDefault="00076A68">
          <w:pPr>
            <w:pStyle w:val="TM1"/>
            <w:tabs>
              <w:tab w:val="right" w:leader="dot" w:pos="9016"/>
            </w:tabs>
            <w:rPr>
              <w:noProof/>
            </w:rPr>
          </w:pPr>
          <w:hyperlink w:anchor="_Toc230354466" w:history="1">
            <w:r w:rsidR="00487783" w:rsidRPr="00CC7E31">
              <w:rPr>
                <w:rStyle w:val="Lienhypertexte"/>
                <w:noProof/>
              </w:rPr>
              <w:t>Instruction des demandes d'aménagement — Process</w:t>
            </w:r>
            <w:r w:rsidR="00487783">
              <w:rPr>
                <w:noProof/>
                <w:webHidden/>
              </w:rPr>
              <w:tab/>
            </w:r>
            <w:r w:rsidR="00487783">
              <w:rPr>
                <w:noProof/>
                <w:webHidden/>
              </w:rPr>
              <w:fldChar w:fldCharType="begin"/>
            </w:r>
            <w:r w:rsidR="00487783">
              <w:rPr>
                <w:noProof/>
                <w:webHidden/>
              </w:rPr>
              <w:instrText xml:space="preserve"> PAGEREF _Toc230354466 \h </w:instrText>
            </w:r>
            <w:r w:rsidR="00487783">
              <w:rPr>
                <w:noProof/>
                <w:webHidden/>
              </w:rPr>
            </w:r>
            <w:r w:rsidR="00487783">
              <w:rPr>
                <w:noProof/>
                <w:webHidden/>
              </w:rPr>
              <w:fldChar w:fldCharType="separate"/>
            </w:r>
            <w:r w:rsidR="00487783">
              <w:rPr>
                <w:noProof/>
                <w:webHidden/>
              </w:rPr>
              <w:t>4</w:t>
            </w:r>
            <w:r w:rsidR="00487783">
              <w:rPr>
                <w:noProof/>
                <w:webHidden/>
              </w:rPr>
              <w:fldChar w:fldCharType="end"/>
            </w:r>
          </w:hyperlink>
        </w:p>
        <w:p w14:paraId="6F16A247" w14:textId="6BF88D26" w:rsidR="00487783" w:rsidRDefault="00076A68">
          <w:pPr>
            <w:pStyle w:val="TM1"/>
            <w:tabs>
              <w:tab w:val="right" w:leader="dot" w:pos="9016"/>
            </w:tabs>
            <w:rPr>
              <w:noProof/>
            </w:rPr>
          </w:pPr>
          <w:hyperlink w:anchor="_Toc230354467" w:history="1">
            <w:r w:rsidR="00487783" w:rsidRPr="00CC7E31">
              <w:rPr>
                <w:rStyle w:val="Lienhypertexte"/>
                <w:noProof/>
              </w:rPr>
              <w:t>Types de demandes d'aménagement</w:t>
            </w:r>
            <w:r w:rsidR="00487783">
              <w:rPr>
                <w:noProof/>
                <w:webHidden/>
              </w:rPr>
              <w:tab/>
            </w:r>
            <w:r w:rsidR="00487783">
              <w:rPr>
                <w:noProof/>
                <w:webHidden/>
              </w:rPr>
              <w:fldChar w:fldCharType="begin"/>
            </w:r>
            <w:r w:rsidR="00487783">
              <w:rPr>
                <w:noProof/>
                <w:webHidden/>
              </w:rPr>
              <w:instrText xml:space="preserve"> PAGEREF _Toc230354467 \h </w:instrText>
            </w:r>
            <w:r w:rsidR="00487783">
              <w:rPr>
                <w:noProof/>
                <w:webHidden/>
              </w:rPr>
            </w:r>
            <w:r w:rsidR="00487783">
              <w:rPr>
                <w:noProof/>
                <w:webHidden/>
              </w:rPr>
              <w:fldChar w:fldCharType="separate"/>
            </w:r>
            <w:r w:rsidR="00487783">
              <w:rPr>
                <w:noProof/>
                <w:webHidden/>
              </w:rPr>
              <w:t>5</w:t>
            </w:r>
            <w:r w:rsidR="00487783">
              <w:rPr>
                <w:noProof/>
                <w:webHidden/>
              </w:rPr>
              <w:fldChar w:fldCharType="end"/>
            </w:r>
          </w:hyperlink>
        </w:p>
        <w:p w14:paraId="525C5DC6" w14:textId="44B01484" w:rsidR="00487783" w:rsidRDefault="00076A68">
          <w:pPr>
            <w:pStyle w:val="TM2"/>
            <w:tabs>
              <w:tab w:val="right" w:leader="dot" w:pos="9016"/>
            </w:tabs>
            <w:rPr>
              <w:noProof/>
            </w:rPr>
          </w:pPr>
          <w:hyperlink w:anchor="_Toc230354468" w:history="1">
            <w:r w:rsidR="00487783" w:rsidRPr="00CC7E31">
              <w:rPr>
                <w:rStyle w:val="Lienhypertexte"/>
                <w:noProof/>
              </w:rPr>
              <w:t>Pour les épreuves écrites</w:t>
            </w:r>
            <w:r w:rsidR="00487783">
              <w:rPr>
                <w:noProof/>
                <w:webHidden/>
              </w:rPr>
              <w:tab/>
            </w:r>
            <w:r w:rsidR="00487783">
              <w:rPr>
                <w:noProof/>
                <w:webHidden/>
              </w:rPr>
              <w:fldChar w:fldCharType="begin"/>
            </w:r>
            <w:r w:rsidR="00487783">
              <w:rPr>
                <w:noProof/>
                <w:webHidden/>
              </w:rPr>
              <w:instrText xml:space="preserve"> PAGEREF _Toc230354468 \h </w:instrText>
            </w:r>
            <w:r w:rsidR="00487783">
              <w:rPr>
                <w:noProof/>
                <w:webHidden/>
              </w:rPr>
            </w:r>
            <w:r w:rsidR="00487783">
              <w:rPr>
                <w:noProof/>
                <w:webHidden/>
              </w:rPr>
              <w:fldChar w:fldCharType="separate"/>
            </w:r>
            <w:r w:rsidR="00487783">
              <w:rPr>
                <w:noProof/>
                <w:webHidden/>
              </w:rPr>
              <w:t>5</w:t>
            </w:r>
            <w:r w:rsidR="00487783">
              <w:rPr>
                <w:noProof/>
                <w:webHidden/>
              </w:rPr>
              <w:fldChar w:fldCharType="end"/>
            </w:r>
          </w:hyperlink>
        </w:p>
        <w:p w14:paraId="3C8668FF" w14:textId="62B01D07" w:rsidR="00487783" w:rsidRDefault="00076A68">
          <w:pPr>
            <w:pStyle w:val="TM2"/>
            <w:tabs>
              <w:tab w:val="right" w:leader="dot" w:pos="9016"/>
            </w:tabs>
            <w:rPr>
              <w:noProof/>
            </w:rPr>
          </w:pPr>
          <w:hyperlink w:anchor="_Toc230354469" w:history="1">
            <w:r w:rsidR="00487783" w:rsidRPr="00CC7E31">
              <w:rPr>
                <w:rStyle w:val="Lienhypertexte"/>
                <w:noProof/>
              </w:rPr>
              <w:t>Pour les épreuves orales</w:t>
            </w:r>
            <w:r w:rsidR="00487783">
              <w:rPr>
                <w:noProof/>
                <w:webHidden/>
              </w:rPr>
              <w:tab/>
            </w:r>
            <w:r w:rsidR="00487783">
              <w:rPr>
                <w:noProof/>
                <w:webHidden/>
              </w:rPr>
              <w:fldChar w:fldCharType="begin"/>
            </w:r>
            <w:r w:rsidR="00487783">
              <w:rPr>
                <w:noProof/>
                <w:webHidden/>
              </w:rPr>
              <w:instrText xml:space="preserve"> PAGEREF _Toc230354469 \h </w:instrText>
            </w:r>
            <w:r w:rsidR="00487783">
              <w:rPr>
                <w:noProof/>
                <w:webHidden/>
              </w:rPr>
            </w:r>
            <w:r w:rsidR="00487783">
              <w:rPr>
                <w:noProof/>
                <w:webHidden/>
              </w:rPr>
              <w:fldChar w:fldCharType="separate"/>
            </w:r>
            <w:r w:rsidR="00487783">
              <w:rPr>
                <w:noProof/>
                <w:webHidden/>
              </w:rPr>
              <w:t>5</w:t>
            </w:r>
            <w:r w:rsidR="00487783">
              <w:rPr>
                <w:noProof/>
                <w:webHidden/>
              </w:rPr>
              <w:fldChar w:fldCharType="end"/>
            </w:r>
          </w:hyperlink>
        </w:p>
        <w:p w14:paraId="0B76BFFA" w14:textId="0D0D1A21" w:rsidR="00487783" w:rsidRDefault="00076A68">
          <w:pPr>
            <w:pStyle w:val="TM1"/>
            <w:tabs>
              <w:tab w:val="right" w:leader="dot" w:pos="9016"/>
            </w:tabs>
            <w:rPr>
              <w:noProof/>
            </w:rPr>
          </w:pPr>
          <w:hyperlink w:anchor="_Toc230354470" w:history="1">
            <w:r w:rsidR="00487783" w:rsidRPr="00CC7E31">
              <w:rPr>
                <w:rStyle w:val="Lienhypertexte"/>
                <w:noProof/>
              </w:rPr>
              <w:t>Formation des membres de jury</w:t>
            </w:r>
            <w:r w:rsidR="00487783">
              <w:rPr>
                <w:noProof/>
                <w:webHidden/>
              </w:rPr>
              <w:tab/>
            </w:r>
            <w:r w:rsidR="00487783">
              <w:rPr>
                <w:noProof/>
                <w:webHidden/>
              </w:rPr>
              <w:fldChar w:fldCharType="begin"/>
            </w:r>
            <w:r w:rsidR="00487783">
              <w:rPr>
                <w:noProof/>
                <w:webHidden/>
              </w:rPr>
              <w:instrText xml:space="preserve"> PAGEREF _Toc230354470 \h </w:instrText>
            </w:r>
            <w:r w:rsidR="00487783">
              <w:rPr>
                <w:noProof/>
                <w:webHidden/>
              </w:rPr>
            </w:r>
            <w:r w:rsidR="00487783">
              <w:rPr>
                <w:noProof/>
                <w:webHidden/>
              </w:rPr>
              <w:fldChar w:fldCharType="separate"/>
            </w:r>
            <w:r w:rsidR="00487783">
              <w:rPr>
                <w:noProof/>
                <w:webHidden/>
              </w:rPr>
              <w:t>6</w:t>
            </w:r>
            <w:r w:rsidR="00487783">
              <w:rPr>
                <w:noProof/>
                <w:webHidden/>
              </w:rPr>
              <w:fldChar w:fldCharType="end"/>
            </w:r>
          </w:hyperlink>
        </w:p>
        <w:p w14:paraId="136569F4" w14:textId="4AB015E4" w:rsidR="00487783" w:rsidRDefault="00487783">
          <w:r>
            <w:rPr>
              <w:b/>
              <w:bCs/>
            </w:rPr>
            <w:fldChar w:fldCharType="end"/>
          </w:r>
        </w:p>
      </w:sdtContent>
    </w:sdt>
    <w:p w14:paraId="1B1FEAC7" w14:textId="06A7727E" w:rsidR="00487783" w:rsidRDefault="00487783" w:rsidP="00487783">
      <w:pPr>
        <w:tabs>
          <w:tab w:val="left" w:pos="2115"/>
        </w:tabs>
        <w:spacing w:before="120" w:after="1440"/>
      </w:pPr>
    </w:p>
    <w:p w14:paraId="790DE934" w14:textId="77777777" w:rsidR="004C4CB1" w:rsidRDefault="004C4CB1">
      <w:pPr>
        <w:pageBreakBefore/>
      </w:pPr>
    </w:p>
    <w:p w14:paraId="25B865E8" w14:textId="77777777" w:rsidR="004C4CB1" w:rsidRDefault="00A07813">
      <w:pPr>
        <w:pStyle w:val="Titre1"/>
      </w:pPr>
      <w:bookmarkStart w:id="0" w:name="_Toc230354463"/>
      <w:r>
        <w:t>Cadre réglementaire</w:t>
      </w:r>
      <w:bookmarkEnd w:id="0"/>
    </w:p>
    <w:p w14:paraId="2E2A2C0E" w14:textId="77777777" w:rsidR="004C4CB1" w:rsidRDefault="00A07813">
      <w:pPr>
        <w:spacing w:after="120"/>
      </w:pPr>
      <w:r>
        <w:t>L'aménagement des épreuves de concours et examens est encadré par :</w:t>
      </w:r>
    </w:p>
    <w:p w14:paraId="22E8E676" w14:textId="77777777" w:rsidR="004C4CB1" w:rsidRDefault="00A07813">
      <w:pPr>
        <w:pStyle w:val="Paragraphedeliste"/>
        <w:numPr>
          <w:ilvl w:val="0"/>
          <w:numId w:val="2"/>
        </w:numPr>
      </w:pPr>
      <w:r>
        <w:t>DDHC art. 6 — principe d'égalité entre citoyens</w:t>
      </w:r>
    </w:p>
    <w:p w14:paraId="5BDDFA62" w14:textId="77777777" w:rsidR="004C4CB1" w:rsidRDefault="00A07813">
      <w:pPr>
        <w:pStyle w:val="Paragraphedeliste"/>
        <w:numPr>
          <w:ilvl w:val="0"/>
          <w:numId w:val="2"/>
        </w:numPr>
      </w:pPr>
      <w:r>
        <w:t>CGFP, notamment les articles :</w:t>
      </w:r>
    </w:p>
    <w:p w14:paraId="6DDB604F" w14:textId="77777777" w:rsidR="004C4CB1" w:rsidRDefault="00A07813">
      <w:pPr>
        <w:pStyle w:val="Paragraphedeliste"/>
        <w:numPr>
          <w:ilvl w:val="1"/>
          <w:numId w:val="2"/>
        </w:numPr>
      </w:pPr>
      <w:r>
        <w:rPr>
          <w:b/>
          <w:bCs/>
        </w:rPr>
        <w:t xml:space="preserve">L 352-3 : </w:t>
      </w:r>
      <w:r>
        <w:t>Les candidats en situation de handicap bénéficient de dérogations aux règles normales de déroulement des concours, des procédures de recrutement et des examens afin d'adapter la durée et le fractionnement des épreuves à leur situation ou de leur apporter les aides humaines et techniques nécessaires précisées par eux avant le déroulement des épreuves. Des temps de repos suffisants entre deux épreuves successives leur sont accordés, de manière à leur permettre de composer dans des conditions compatibles avec leur situation.</w:t>
      </w:r>
    </w:p>
    <w:p w14:paraId="140AA752" w14:textId="77777777" w:rsidR="004C4CB1" w:rsidRDefault="00A07813">
      <w:pPr>
        <w:pStyle w:val="Paragraphedeliste"/>
        <w:numPr>
          <w:ilvl w:val="1"/>
          <w:numId w:val="2"/>
        </w:numPr>
      </w:pPr>
      <w:r>
        <w:rPr>
          <w:b/>
          <w:bCs/>
        </w:rPr>
        <w:t xml:space="preserve">R 352-1 et s. : </w:t>
      </w:r>
      <w:r>
        <w:t>Les dérogations aux règles normales de déroulement des concours, des procédures de recrutement et des examens, mentionnées à l'article L. 352-3, sont décidées par l'autorité organisatrice des épreuves au vu de la production par les candidats d'un certificat médical établi par un médecin agréé dans les conditions prévues par la section 1 du chapitre I</w:t>
      </w:r>
      <w:r>
        <w:rPr>
          <w:vertAlign w:val="superscript"/>
        </w:rPr>
        <w:t>er</w:t>
      </w:r>
      <w:r>
        <w:t xml:space="preserve"> du titre II du présent livre.</w:t>
      </w:r>
    </w:p>
    <w:p w14:paraId="77C1A890" w14:textId="77777777" w:rsidR="004C4CB1" w:rsidRDefault="00A07813">
      <w:pPr>
        <w:pStyle w:val="Paragraphedeliste"/>
        <w:numPr>
          <w:ilvl w:val="0"/>
          <w:numId w:val="2"/>
        </w:numPr>
      </w:pPr>
      <w:r>
        <w:t>Arrêté du 8 juillet 2024 fixant les conditions et les modalités de recours à la visioconférence pour l'organisation des voies d'accès à la fonction publique.</w:t>
      </w:r>
    </w:p>
    <w:p w14:paraId="6DF185F9" w14:textId="77777777" w:rsidR="004C4CB1" w:rsidRDefault="00A07813">
      <w:pPr>
        <w:pStyle w:val="Titre1"/>
      </w:pPr>
      <w:bookmarkStart w:id="1" w:name="_Toc230354464"/>
      <w:r>
        <w:t>Instruction des demandes d'aménagement</w:t>
      </w:r>
      <w:bookmarkEnd w:id="1"/>
    </w:p>
    <w:p w14:paraId="65ADA57B" w14:textId="77777777" w:rsidR="004C4CB1" w:rsidRDefault="00A07813">
      <w:pPr>
        <w:pStyle w:val="Titre2"/>
      </w:pPr>
      <w:bookmarkStart w:id="2" w:name="_Toc230354465"/>
      <w:r>
        <w:t>Application des textes par RM1</w:t>
      </w:r>
      <w:bookmarkEnd w:id="2"/>
    </w:p>
    <w:p w14:paraId="51B23B9F" w14:textId="77777777" w:rsidR="004C4CB1" w:rsidRDefault="00A07813">
      <w:pPr>
        <w:pStyle w:val="Paragraphedeliste"/>
        <w:numPr>
          <w:ilvl w:val="0"/>
          <w:numId w:val="2"/>
        </w:numPr>
      </w:pPr>
      <w:r>
        <w:t>Mise en place des aides et aménagements sollicités par les candidats « sous réserve que les charges afférentes ne soient pas disproportionnées au regard des moyens, notamment matérielles et humains dont [le bureau RM1] dispose ».</w:t>
      </w:r>
    </w:p>
    <w:p w14:paraId="3DA617BB" w14:textId="77777777" w:rsidR="004C4CB1" w:rsidRDefault="00A07813">
      <w:pPr>
        <w:pStyle w:val="Paragraphedeliste"/>
        <w:numPr>
          <w:ilvl w:val="0"/>
          <w:numId w:val="2"/>
        </w:numPr>
      </w:pPr>
      <w:r>
        <w:t>Demande d'aménagement présentée par tout candidat le justifiant, reconnu travailleur handicapé ou non.</w:t>
      </w:r>
    </w:p>
    <w:p w14:paraId="27E93A06" w14:textId="77777777" w:rsidR="004C4CB1" w:rsidRDefault="00A07813">
      <w:pPr>
        <w:pStyle w:val="Paragraphedeliste"/>
        <w:numPr>
          <w:ilvl w:val="0"/>
          <w:numId w:val="2"/>
        </w:numPr>
      </w:pPr>
      <w:r>
        <w:t>Obligation de consultation d'un médecin agréé par l'ARS, doit être daté de moins de 6 mois* — remboursement effectué par l'administration (cf. Décret n° 86-442 du 14 mars 1986 modifié relatif à la désignation des médecins agréés, à l'organisation des conseils médicaux, aux conditions d'aptitude physique pour l'admission aux emplois publics et au régime de congés de maladie des fonctionnaires ; les honoraires des médecins sont pris en charge par l'administration, sur la base d'un arrêté interministériel).</w:t>
      </w:r>
    </w:p>
    <w:p w14:paraId="3963D0E5" w14:textId="77777777" w:rsidR="004C4CB1" w:rsidRDefault="00A07813">
      <w:pPr>
        <w:pStyle w:val="Paragraphedeliste"/>
        <w:numPr>
          <w:ilvl w:val="0"/>
          <w:numId w:val="2"/>
        </w:numPr>
      </w:pPr>
      <w:r>
        <w:t>Formulaire téléchargeable disponible sur chaque page internet des concours organisés par le pôle ministériel :</w:t>
      </w:r>
    </w:p>
    <w:p w14:paraId="4551BD6E" w14:textId="77777777" w:rsidR="004C4CB1" w:rsidRDefault="00A07813">
      <w:pPr>
        <w:pStyle w:val="Paragraphedeliste"/>
        <w:numPr>
          <w:ilvl w:val="1"/>
          <w:numId w:val="2"/>
        </w:numPr>
      </w:pPr>
      <w:r>
        <w:t>Rubrique « Conditions d'accès »,</w:t>
      </w:r>
    </w:p>
    <w:p w14:paraId="6BDCEF70" w14:textId="77777777" w:rsidR="004C4CB1" w:rsidRDefault="00A07813">
      <w:pPr>
        <w:pStyle w:val="Paragraphedeliste"/>
        <w:numPr>
          <w:ilvl w:val="1"/>
          <w:numId w:val="2"/>
        </w:numPr>
      </w:pPr>
      <w:r>
        <w:t>Paragraphe « conditions particulières pour concourir »,</w:t>
      </w:r>
    </w:p>
    <w:p w14:paraId="15DA8AA9" w14:textId="77777777" w:rsidR="004C4CB1" w:rsidRDefault="00A07813">
      <w:pPr>
        <w:pStyle w:val="Paragraphedeliste"/>
        <w:numPr>
          <w:ilvl w:val="1"/>
          <w:numId w:val="2"/>
        </w:numPr>
      </w:pPr>
      <w:r>
        <w:t>Menu « demande d'aménagement ».</w:t>
      </w:r>
    </w:p>
    <w:p w14:paraId="7C062951" w14:textId="77777777" w:rsidR="004C4CB1" w:rsidRDefault="00A07813">
      <w:pPr>
        <w:spacing w:before="120"/>
      </w:pPr>
      <w:r>
        <w:rPr>
          <w:b/>
          <w:bCs/>
        </w:rPr>
        <w:t xml:space="preserve">* </w:t>
      </w:r>
      <w:r>
        <w:t>Demande interministérielle d'allongement à 1 an de la durée de validité (pour les candidats dont la situation médicale est stabilisée).</w:t>
      </w:r>
    </w:p>
    <w:p w14:paraId="136C03E9" w14:textId="77777777" w:rsidR="004C4CB1" w:rsidRDefault="00A07813">
      <w:pPr>
        <w:spacing w:before="60" w:after="120"/>
      </w:pPr>
      <w:r>
        <w:rPr>
          <w:b/>
          <w:bCs/>
        </w:rPr>
        <w:lastRenderedPageBreak/>
        <w:t xml:space="preserve">MTE : </w:t>
      </w:r>
      <w:r>
        <w:t>permet au candidat de produire un même certificat médical d'aménagement pour plusieurs candidatures, dès lors que sa durée de validité n'excède pas les 6 mois et que les épreuves concernées sont identiques ou similaires.</w:t>
      </w:r>
    </w:p>
    <w:p w14:paraId="49D1212C" w14:textId="68843223" w:rsidR="004C4CB1" w:rsidRDefault="00A07813" w:rsidP="00487783">
      <w:pPr>
        <w:pStyle w:val="Titre2"/>
      </w:pPr>
      <w:bookmarkStart w:id="3" w:name="_Toc230354466"/>
      <w:r>
        <w:t>Process</w:t>
      </w:r>
      <w:bookmarkEnd w:id="3"/>
    </w:p>
    <w:p w14:paraId="76F271F8" w14:textId="77777777" w:rsidR="004C4CB1" w:rsidRDefault="00A07813">
      <w:pPr>
        <w:pStyle w:val="Paragraphedeliste"/>
        <w:numPr>
          <w:ilvl w:val="0"/>
          <w:numId w:val="2"/>
        </w:numPr>
      </w:pPr>
      <w:r>
        <w:t>Indication dans les arrêtés d'ouverture des concours/examens de la date à laquelle le candidat doit avoir téléversé le certificat médical précisant la nature des aménagements préconisés par le médecin.</w:t>
      </w:r>
    </w:p>
    <w:p w14:paraId="4E0B20E4" w14:textId="77777777" w:rsidR="004C4CB1" w:rsidRDefault="00A07813">
      <w:pPr>
        <w:pStyle w:val="Paragraphedeliste"/>
        <w:numPr>
          <w:ilvl w:val="0"/>
          <w:numId w:val="2"/>
        </w:numPr>
      </w:pPr>
      <w:r>
        <w:t>La réglementation prévoit une date de remise au plus tard 3 semaines avant le début des épreuves ; RM1 applique ce délai de façon plus rigoureuse aux fins de correcte organisation (notamment en cas de mobilisation des centres d'examens).</w:t>
      </w:r>
    </w:p>
    <w:p w14:paraId="1BF9B6F4" w14:textId="77777777" w:rsidR="004C4CB1" w:rsidRDefault="00A07813">
      <w:pPr>
        <w:pStyle w:val="Paragraphedeliste"/>
        <w:numPr>
          <w:ilvl w:val="0"/>
          <w:numId w:val="2"/>
        </w:numPr>
      </w:pPr>
      <w:r>
        <w:t>Tolérance dans le traitement des demandes arrivant hors délais, sans mise en risque juridique de l'opération.</w:t>
      </w:r>
    </w:p>
    <w:p w14:paraId="55EC663D" w14:textId="77777777" w:rsidR="004C4CB1" w:rsidRDefault="00A07813">
      <w:pPr>
        <w:pStyle w:val="Paragraphedeliste"/>
        <w:numPr>
          <w:ilvl w:val="0"/>
          <w:numId w:val="2"/>
        </w:numPr>
      </w:pPr>
      <w:r>
        <w:t>Téléversement des demandes d'aménagement par les candidats pour les épreuves écrites et les épreuves orales.</w:t>
      </w:r>
    </w:p>
    <w:p w14:paraId="691B0375" w14:textId="77777777" w:rsidR="004C4CB1" w:rsidRDefault="00A07813">
      <w:pPr>
        <w:pStyle w:val="Paragraphedeliste"/>
        <w:numPr>
          <w:ilvl w:val="0"/>
          <w:numId w:val="2"/>
        </w:numPr>
      </w:pPr>
      <w:r>
        <w:t>Instruction par le bureau RM1, éventuellement demandes d'éclaircissements auprès du candidat pour correcte prise en compte de la demande (échanges mails).</w:t>
      </w:r>
    </w:p>
    <w:p w14:paraId="4C607C6A" w14:textId="77777777" w:rsidR="004C4CB1" w:rsidRDefault="00A07813">
      <w:pPr>
        <w:pStyle w:val="Paragraphedeliste"/>
        <w:numPr>
          <w:ilvl w:val="0"/>
          <w:numId w:val="2"/>
        </w:numPr>
      </w:pPr>
      <w:r>
        <w:t>Information du candidat dont tout ou partie des aménagements préconisés ne serait pas pris en compte.</w:t>
      </w:r>
    </w:p>
    <w:p w14:paraId="2C91D157" w14:textId="77777777" w:rsidR="004C4CB1" w:rsidRDefault="00A07813" w:rsidP="00487783">
      <w:pPr>
        <w:pStyle w:val="Titre2"/>
      </w:pPr>
      <w:r>
        <w:t>Données 2025 :</w:t>
      </w:r>
    </w:p>
    <w:p w14:paraId="7118C07B" w14:textId="77777777" w:rsidR="004C4CB1" w:rsidRDefault="00A07813">
      <w:pPr>
        <w:pStyle w:val="Paragraphedeliste"/>
        <w:numPr>
          <w:ilvl w:val="0"/>
          <w:numId w:val="2"/>
        </w:numPr>
      </w:pPr>
      <w:r>
        <w:t>Environ 8 400 candidats, dont environ 1 000 candidats déclarés TH, environ 400 demandes d'aménagements.</w:t>
      </w:r>
    </w:p>
    <w:p w14:paraId="5D9D32A1" w14:textId="77777777" w:rsidR="004C4CB1" w:rsidRDefault="00A07813">
      <w:pPr>
        <w:pStyle w:val="Paragraphedeliste"/>
        <w:numPr>
          <w:ilvl w:val="0"/>
          <w:numId w:val="2"/>
        </w:numPr>
      </w:pPr>
      <w:r>
        <w:t>Refus de prise en compte liés à l'absence de téléversement du formulaire complété.</w:t>
      </w:r>
    </w:p>
    <w:p w14:paraId="55FC8282" w14:textId="77777777" w:rsidR="004C4CB1" w:rsidRDefault="00A07813">
      <w:pPr>
        <w:pStyle w:val="Titre1"/>
      </w:pPr>
      <w:bookmarkStart w:id="4" w:name="_Toc230354467"/>
      <w:r>
        <w:t>Types de demandes d'aménagement</w:t>
      </w:r>
      <w:bookmarkEnd w:id="4"/>
    </w:p>
    <w:p w14:paraId="53279210" w14:textId="77777777" w:rsidR="004C4CB1" w:rsidRDefault="00A07813">
      <w:pPr>
        <w:pStyle w:val="Titre2"/>
      </w:pPr>
      <w:bookmarkStart w:id="5" w:name="_Toc230354468"/>
      <w:r>
        <w:t>Pour les épreuves écrites</w:t>
      </w:r>
      <w:bookmarkEnd w:id="5"/>
    </w:p>
    <w:p w14:paraId="301B4BAD" w14:textId="77777777" w:rsidR="004C4CB1" w:rsidRDefault="00A07813">
      <w:pPr>
        <w:pStyle w:val="Paragraphedeliste"/>
        <w:numPr>
          <w:ilvl w:val="0"/>
          <w:numId w:val="2"/>
        </w:numPr>
      </w:pPr>
      <w:r>
        <w:t>Octroi d'un tiers temps.</w:t>
      </w:r>
    </w:p>
    <w:p w14:paraId="2232F9DA" w14:textId="77777777" w:rsidR="004C4CB1" w:rsidRDefault="00A07813">
      <w:pPr>
        <w:pStyle w:val="Paragraphedeliste"/>
        <w:numPr>
          <w:ilvl w:val="0"/>
          <w:numId w:val="2"/>
        </w:numPr>
      </w:pPr>
      <w:r>
        <w:t>Composition dans une salle spéciale.</w:t>
      </w:r>
    </w:p>
    <w:p w14:paraId="18A7D70C" w14:textId="77777777" w:rsidR="004C4CB1" w:rsidRDefault="00A07813">
      <w:pPr>
        <w:pStyle w:val="Paragraphedeliste"/>
        <w:numPr>
          <w:ilvl w:val="0"/>
          <w:numId w:val="2"/>
        </w:numPr>
      </w:pPr>
      <w:r>
        <w:t>Composition sur ordinateurs.</w:t>
      </w:r>
    </w:p>
    <w:p w14:paraId="79F19955" w14:textId="77777777" w:rsidR="004C4CB1" w:rsidRDefault="00A07813">
      <w:pPr>
        <w:pStyle w:val="Titre2"/>
      </w:pPr>
      <w:bookmarkStart w:id="6" w:name="_Toc230354469"/>
      <w:r>
        <w:t>Pour les épreuves orales</w:t>
      </w:r>
      <w:bookmarkEnd w:id="6"/>
    </w:p>
    <w:p w14:paraId="44945800" w14:textId="77777777" w:rsidR="004C4CB1" w:rsidRDefault="00A07813">
      <w:pPr>
        <w:pStyle w:val="Paragraphedeliste"/>
        <w:numPr>
          <w:ilvl w:val="0"/>
          <w:numId w:val="2"/>
        </w:numPr>
      </w:pPr>
      <w:r>
        <w:t>Octroi d'un tiers temps supplémentaire (sur chaque séquençage de l'épreuve).</w:t>
      </w:r>
    </w:p>
    <w:p w14:paraId="0A00D73D" w14:textId="77777777" w:rsidR="004C4CB1" w:rsidRDefault="00A07813">
      <w:pPr>
        <w:pStyle w:val="Paragraphedeliste"/>
        <w:numPr>
          <w:ilvl w:val="0"/>
          <w:numId w:val="2"/>
        </w:numPr>
      </w:pPr>
      <w:r>
        <w:t>Recours à la visioconférence pour les épreuves orales.</w:t>
      </w:r>
    </w:p>
    <w:p w14:paraId="5D4DED77" w14:textId="77777777" w:rsidR="004C4CB1" w:rsidRDefault="00A07813">
      <w:pPr>
        <w:pStyle w:val="Paragraphedeliste"/>
        <w:numPr>
          <w:ilvl w:val="0"/>
          <w:numId w:val="2"/>
        </w:numPr>
      </w:pPr>
      <w:r>
        <w:t>Temps de repos ou pauses régulières en cours d'épreuve.</w:t>
      </w:r>
    </w:p>
    <w:p w14:paraId="119BD1D0" w14:textId="77777777" w:rsidR="004C4CB1" w:rsidRDefault="00A07813">
      <w:pPr>
        <w:spacing w:before="240"/>
      </w:pPr>
      <w:r>
        <w:rPr>
          <w:b/>
          <w:bCs/>
        </w:rPr>
        <w:t xml:space="preserve">Objectif : </w:t>
      </w:r>
      <w:r>
        <w:t xml:space="preserve">mise en œuvre des aménagements strictement nécessaires tout en veillant à prévenir une surcompensation et en garantissant le principe d'égal accès aux emplois publics. Certains types d'aménagement peuvent être refusés (ex. : </w:t>
      </w:r>
      <w:proofErr w:type="spellStart"/>
      <w:r>
        <w:t>visio</w:t>
      </w:r>
      <w:proofErr w:type="spellEnd"/>
      <w:r>
        <w:t xml:space="preserve"> au domicile personnel du candidat, adaptation de la nature de l'épreuve…).</w:t>
      </w:r>
    </w:p>
    <w:p w14:paraId="21CCDB67" w14:textId="77777777" w:rsidR="004C4CB1" w:rsidRDefault="004C4CB1">
      <w:pPr>
        <w:pageBreakBefore/>
      </w:pPr>
    </w:p>
    <w:p w14:paraId="4B09B2CB" w14:textId="77777777" w:rsidR="004C4CB1" w:rsidRDefault="00A07813">
      <w:pPr>
        <w:pStyle w:val="Titre1"/>
      </w:pPr>
      <w:bookmarkStart w:id="7" w:name="_Toc230354470"/>
      <w:r>
        <w:t>Formation des membres de jury</w:t>
      </w:r>
      <w:bookmarkEnd w:id="7"/>
    </w:p>
    <w:p w14:paraId="4E1CEE50" w14:textId="77777777" w:rsidR="004C4CB1" w:rsidRDefault="00A07813">
      <w:pPr>
        <w:pStyle w:val="Paragraphedeliste"/>
        <w:numPr>
          <w:ilvl w:val="0"/>
          <w:numId w:val="2"/>
        </w:numPr>
      </w:pPr>
      <w:r>
        <w:t>Obligation pour les membres de jury de participer annuellement à la formation de professionnalisation aux épreuves orales.</w:t>
      </w:r>
    </w:p>
    <w:p w14:paraId="46EF415D" w14:textId="77777777" w:rsidR="004C4CB1" w:rsidRDefault="00A07813">
      <w:pPr>
        <w:pStyle w:val="Paragraphedeliste"/>
        <w:numPr>
          <w:ilvl w:val="0"/>
          <w:numId w:val="2"/>
        </w:numPr>
      </w:pPr>
      <w:r>
        <w:t>Points abordés par le prestataire (non exhaustifs) :</w:t>
      </w:r>
    </w:p>
    <w:p w14:paraId="63AB5F81" w14:textId="77777777" w:rsidR="004C4CB1" w:rsidRDefault="00A07813">
      <w:pPr>
        <w:pStyle w:val="Paragraphedeliste"/>
        <w:numPr>
          <w:ilvl w:val="1"/>
          <w:numId w:val="2"/>
        </w:numPr>
      </w:pPr>
      <w:r>
        <w:t>Égalité de traitement des candidats.</w:t>
      </w:r>
    </w:p>
    <w:p w14:paraId="407BC615" w14:textId="77777777" w:rsidR="004C4CB1" w:rsidRDefault="00A07813">
      <w:pPr>
        <w:pStyle w:val="Paragraphedeliste"/>
        <w:numPr>
          <w:ilvl w:val="1"/>
          <w:numId w:val="2"/>
        </w:numPr>
      </w:pPr>
      <w:r>
        <w:t>Discrimination.</w:t>
      </w:r>
    </w:p>
    <w:p w14:paraId="676AF4E2" w14:textId="77777777" w:rsidR="004C4CB1" w:rsidRDefault="00A07813">
      <w:pPr>
        <w:pStyle w:val="Paragraphedeliste"/>
        <w:numPr>
          <w:ilvl w:val="1"/>
          <w:numId w:val="2"/>
        </w:numPr>
      </w:pPr>
      <w:r>
        <w:t>Préconisations liées aux labels égalité et diversité.</w:t>
      </w:r>
    </w:p>
    <w:p w14:paraId="0D417977" w14:textId="77777777" w:rsidR="004C4CB1" w:rsidRDefault="00A07813">
      <w:pPr>
        <w:pStyle w:val="Paragraphedeliste"/>
        <w:numPr>
          <w:ilvl w:val="0"/>
          <w:numId w:val="2"/>
        </w:numPr>
      </w:pPr>
      <w:r>
        <w:t>Les membres de jury sont également formés pour être en capacité de réagir en cas de situation imprévue.</w:t>
      </w:r>
    </w:p>
    <w:p w14:paraId="23DD8B45" w14:textId="77777777" w:rsidR="004C4CB1" w:rsidRDefault="00A07813">
      <w:pPr>
        <w:pStyle w:val="Paragraphedeliste"/>
        <w:numPr>
          <w:ilvl w:val="0"/>
          <w:numId w:val="2"/>
        </w:numPr>
      </w:pPr>
      <w:r>
        <w:t>Membres de jury invités en sus à se former en suivant la formation Mentor de la DGAFP consacrée à la prise en charge du handicap dans le cadre des épreuves de concours.</w:t>
      </w:r>
    </w:p>
    <w:sectPr w:rsidR="004C4CB1">
      <w:headerReference w:type="default" r:id="rId10"/>
      <w:footerReference w:type="defaul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BA7DC" w14:textId="77777777" w:rsidR="00076A68" w:rsidRDefault="00076A68">
      <w:r>
        <w:separator/>
      </w:r>
    </w:p>
  </w:endnote>
  <w:endnote w:type="continuationSeparator" w:id="0">
    <w:p w14:paraId="3EA159EE" w14:textId="77777777" w:rsidR="00076A68" w:rsidRDefault="00076A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6D8A0" w14:textId="77777777" w:rsidR="004C4CB1" w:rsidRDefault="00A07813">
    <w:pPr>
      <w:pBdr>
        <w:top w:val="single" w:sz="4" w:space="1" w:color="2E74B5"/>
      </w:pBdr>
    </w:pPr>
    <w:r>
      <w:rPr>
        <w:color w:val="666666"/>
        <w:sz w:val="18"/>
        <w:szCs w:val="18"/>
      </w:rPr>
      <w:t>26/05/</w:t>
    </w:r>
    <w:proofErr w:type="gramStart"/>
    <w:r>
      <w:rPr>
        <w:color w:val="666666"/>
        <w:sz w:val="18"/>
        <w:szCs w:val="18"/>
      </w:rPr>
      <w:t>2026  |</w:t>
    </w:r>
    <w:proofErr w:type="gramEnd"/>
    <w:r>
      <w:rPr>
        <w:color w:val="666666"/>
        <w:sz w:val="18"/>
        <w:szCs w:val="18"/>
      </w:rPr>
      <w:t xml:space="preserve">  SG/DRH/D/RM1  |  Page </w:t>
    </w:r>
    <w:r>
      <w:rPr>
        <w:color w:val="666666"/>
        <w:sz w:val="18"/>
        <w:szCs w:val="18"/>
      </w:rPr>
      <w:fldChar w:fldCharType="begin"/>
    </w:r>
    <w:r>
      <w:rPr>
        <w:color w:val="666666"/>
        <w:sz w:val="18"/>
        <w:szCs w:val="18"/>
      </w:rPr>
      <w:instrText>PAGE</w:instrText>
    </w:r>
    <w:r>
      <w:rPr>
        <w:color w:val="666666"/>
        <w:sz w:val="18"/>
        <w:szCs w:val="18"/>
      </w:rPr>
      <w:fldChar w:fldCharType="separate"/>
    </w:r>
    <w:r w:rsidR="00487783">
      <w:rPr>
        <w:noProof/>
        <w:color w:val="666666"/>
        <w:sz w:val="18"/>
        <w:szCs w:val="18"/>
      </w:rPr>
      <w:t>1</w:t>
    </w:r>
    <w:r>
      <w:rPr>
        <w:color w:val="666666"/>
        <w:sz w:val="18"/>
        <w:szCs w:val="18"/>
      </w:rPr>
      <w:fldChar w:fldCharType="end"/>
    </w:r>
    <w:r>
      <w:rPr>
        <w:color w:val="666666"/>
        <w:sz w:val="18"/>
        <w:szCs w:val="18"/>
      </w:rPr>
      <w:t xml:space="preserve"> / </w:t>
    </w:r>
    <w:r>
      <w:rPr>
        <w:color w:val="666666"/>
        <w:sz w:val="18"/>
        <w:szCs w:val="18"/>
      </w:rPr>
      <w:fldChar w:fldCharType="begin"/>
    </w:r>
    <w:r>
      <w:rPr>
        <w:color w:val="666666"/>
        <w:sz w:val="18"/>
        <w:szCs w:val="18"/>
      </w:rPr>
      <w:instrText>NUMPAGES</w:instrText>
    </w:r>
    <w:r>
      <w:rPr>
        <w:color w:val="666666"/>
        <w:sz w:val="18"/>
        <w:szCs w:val="18"/>
      </w:rPr>
      <w:fldChar w:fldCharType="separate"/>
    </w:r>
    <w:r w:rsidR="00487783">
      <w:rPr>
        <w:noProof/>
        <w:color w:val="666666"/>
        <w:sz w:val="18"/>
        <w:szCs w:val="18"/>
      </w:rPr>
      <w:t>2</w:t>
    </w:r>
    <w:r>
      <w:rPr>
        <w:color w:val="666666"/>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CBA4B" w14:textId="77777777" w:rsidR="00076A68" w:rsidRDefault="00076A68">
      <w:r>
        <w:separator/>
      </w:r>
    </w:p>
  </w:footnote>
  <w:footnote w:type="continuationSeparator" w:id="0">
    <w:p w14:paraId="469BD6C5" w14:textId="77777777" w:rsidR="00076A68" w:rsidRDefault="00076A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2AF22" w14:textId="77777777" w:rsidR="004C4CB1" w:rsidRDefault="00A07813">
    <w:pPr>
      <w:pBdr>
        <w:bottom w:val="single" w:sz="4" w:space="1" w:color="2E74B5"/>
      </w:pBdr>
    </w:pPr>
    <w:proofErr w:type="spellStart"/>
    <w:r>
      <w:rPr>
        <w:color w:val="666666"/>
        <w:sz w:val="18"/>
        <w:szCs w:val="18"/>
      </w:rPr>
      <w:t>Cosui</w:t>
    </w:r>
    <w:proofErr w:type="spellEnd"/>
    <w:r>
      <w:rPr>
        <w:color w:val="666666"/>
        <w:sz w:val="18"/>
        <w:szCs w:val="18"/>
      </w:rPr>
      <w:t xml:space="preserve"> handicap — SG/DRH/D/RM1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51E8"/>
    <w:multiLevelType w:val="hybridMultilevel"/>
    <w:tmpl w:val="DD56BC10"/>
    <w:lvl w:ilvl="0" w:tplc="5296AB2C">
      <w:start w:val="1"/>
      <w:numFmt w:val="bullet"/>
      <w:lvlText w:val="•"/>
      <w:lvlJc w:val="left"/>
      <w:pPr>
        <w:ind w:left="720" w:hanging="360"/>
      </w:pPr>
      <w:rPr>
        <w:rFonts w:ascii="Arial" w:eastAsia="Arial" w:hAnsi="Arial" w:cs="Arial"/>
      </w:rPr>
    </w:lvl>
    <w:lvl w:ilvl="1" w:tplc="3C1A0BB8">
      <w:start w:val="1"/>
      <w:numFmt w:val="bullet"/>
      <w:lvlText w:val="◦"/>
      <w:lvlJc w:val="left"/>
      <w:pPr>
        <w:ind w:left="1080" w:hanging="360"/>
      </w:pPr>
      <w:rPr>
        <w:rFonts w:ascii="Arial" w:eastAsia="Arial" w:hAnsi="Arial" w:cs="Arial"/>
      </w:rPr>
    </w:lvl>
    <w:lvl w:ilvl="2" w:tplc="CE44C214">
      <w:numFmt w:val="decimal"/>
      <w:lvlText w:val=""/>
      <w:lvlJc w:val="left"/>
    </w:lvl>
    <w:lvl w:ilvl="3" w:tplc="FEBACACA">
      <w:numFmt w:val="decimal"/>
      <w:lvlText w:val=""/>
      <w:lvlJc w:val="left"/>
    </w:lvl>
    <w:lvl w:ilvl="4" w:tplc="26944606">
      <w:numFmt w:val="decimal"/>
      <w:lvlText w:val=""/>
      <w:lvlJc w:val="left"/>
    </w:lvl>
    <w:lvl w:ilvl="5" w:tplc="C39A6496">
      <w:numFmt w:val="decimal"/>
      <w:lvlText w:val=""/>
      <w:lvlJc w:val="left"/>
    </w:lvl>
    <w:lvl w:ilvl="6" w:tplc="61DEEA62">
      <w:numFmt w:val="decimal"/>
      <w:lvlText w:val=""/>
      <w:lvlJc w:val="left"/>
    </w:lvl>
    <w:lvl w:ilvl="7" w:tplc="4CA27C0C">
      <w:numFmt w:val="decimal"/>
      <w:lvlText w:val=""/>
      <w:lvlJc w:val="left"/>
    </w:lvl>
    <w:lvl w:ilvl="8" w:tplc="34DA1010">
      <w:numFmt w:val="decimal"/>
      <w:lvlText w:val=""/>
      <w:lvlJc w:val="left"/>
    </w:lvl>
  </w:abstractNum>
  <w:abstractNum w:abstractNumId="1" w15:restartNumberingAfterBreak="0">
    <w:nsid w:val="29A013A0"/>
    <w:multiLevelType w:val="hybridMultilevel"/>
    <w:tmpl w:val="3F1211A4"/>
    <w:lvl w:ilvl="0" w:tplc="2CA65DA4">
      <w:start w:val="1"/>
      <w:numFmt w:val="bullet"/>
      <w:lvlText w:val="●"/>
      <w:lvlJc w:val="left"/>
      <w:pPr>
        <w:ind w:left="720" w:hanging="360"/>
      </w:pPr>
    </w:lvl>
    <w:lvl w:ilvl="1" w:tplc="D5662EF2">
      <w:start w:val="1"/>
      <w:numFmt w:val="bullet"/>
      <w:lvlText w:val="○"/>
      <w:lvlJc w:val="left"/>
      <w:pPr>
        <w:ind w:left="1440" w:hanging="360"/>
      </w:pPr>
    </w:lvl>
    <w:lvl w:ilvl="2" w:tplc="66E6F288">
      <w:start w:val="1"/>
      <w:numFmt w:val="bullet"/>
      <w:lvlText w:val="■"/>
      <w:lvlJc w:val="left"/>
      <w:pPr>
        <w:ind w:left="2160" w:hanging="360"/>
      </w:pPr>
    </w:lvl>
    <w:lvl w:ilvl="3" w:tplc="12360EB0">
      <w:start w:val="1"/>
      <w:numFmt w:val="bullet"/>
      <w:lvlText w:val="●"/>
      <w:lvlJc w:val="left"/>
      <w:pPr>
        <w:ind w:left="2880" w:hanging="360"/>
      </w:pPr>
    </w:lvl>
    <w:lvl w:ilvl="4" w:tplc="EE781BF2">
      <w:start w:val="1"/>
      <w:numFmt w:val="bullet"/>
      <w:lvlText w:val="○"/>
      <w:lvlJc w:val="left"/>
      <w:pPr>
        <w:ind w:left="3600" w:hanging="360"/>
      </w:pPr>
    </w:lvl>
    <w:lvl w:ilvl="5" w:tplc="948A1018">
      <w:start w:val="1"/>
      <w:numFmt w:val="bullet"/>
      <w:lvlText w:val="■"/>
      <w:lvlJc w:val="left"/>
      <w:pPr>
        <w:ind w:left="4320" w:hanging="360"/>
      </w:pPr>
    </w:lvl>
    <w:lvl w:ilvl="6" w:tplc="DE7831C8">
      <w:start w:val="1"/>
      <w:numFmt w:val="bullet"/>
      <w:lvlText w:val="●"/>
      <w:lvlJc w:val="left"/>
      <w:pPr>
        <w:ind w:left="5040" w:hanging="360"/>
      </w:pPr>
    </w:lvl>
    <w:lvl w:ilvl="7" w:tplc="1AA21C5C">
      <w:start w:val="1"/>
      <w:numFmt w:val="bullet"/>
      <w:lvlText w:val="●"/>
      <w:lvlJc w:val="left"/>
      <w:pPr>
        <w:ind w:left="5760" w:hanging="360"/>
      </w:pPr>
    </w:lvl>
    <w:lvl w:ilvl="8" w:tplc="4EA6B644">
      <w:start w:val="1"/>
      <w:numFmt w:val="bullet"/>
      <w:lvlText w:val="●"/>
      <w:lvlJc w:val="left"/>
      <w:pPr>
        <w:ind w:left="6480" w:hanging="360"/>
      </w:pPr>
    </w:lvl>
  </w:abstractNum>
  <w:num w:numId="1">
    <w:abstractNumId w:val="1"/>
    <w:lvlOverride w:ilvl="0">
      <w:startOverride w:val="1"/>
    </w:lvlOverride>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CB1"/>
    <w:rsid w:val="00076A68"/>
    <w:rsid w:val="00455C16"/>
    <w:rsid w:val="00487783"/>
    <w:rsid w:val="004C4CB1"/>
    <w:rsid w:val="005130DD"/>
    <w:rsid w:val="00A07813"/>
    <w:rsid w:val="00BF1377"/>
    <w:rsid w:val="00D50F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83826"/>
  <w15:docId w15:val="{EC65B7C8-0E4E-4A4C-95CE-DF7185501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60" w:after="120"/>
      <w:outlineLvl w:val="0"/>
    </w:pPr>
    <w:rPr>
      <w:b/>
      <w:bCs/>
      <w:color w:val="1F4E79"/>
      <w:sz w:val="36"/>
      <w:szCs w:val="36"/>
    </w:rPr>
  </w:style>
  <w:style w:type="paragraph" w:styleId="Titre2">
    <w:name w:val="heading 2"/>
    <w:uiPriority w:val="9"/>
    <w:unhideWhenUsed/>
    <w:qFormat/>
    <w:pPr>
      <w:spacing w:before="240" w:after="120"/>
      <w:outlineLvl w:val="1"/>
    </w:pPr>
    <w:rPr>
      <w:b/>
      <w:bCs/>
      <w:color w:val="2E74B5"/>
      <w:sz w:val="28"/>
      <w:szCs w:val="28"/>
    </w:rPr>
  </w:style>
  <w:style w:type="paragraph" w:styleId="Titre3">
    <w:name w:val="heading 3"/>
    <w:uiPriority w:val="9"/>
    <w:semiHidden/>
    <w:unhideWhenUsed/>
    <w:qFormat/>
    <w:pPr>
      <w:spacing w:before="180" w:after="60"/>
      <w:outlineLvl w:val="2"/>
    </w:pPr>
    <w:rPr>
      <w:b/>
      <w:bCs/>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paragraph" w:styleId="En-ttedetabledesmatires">
    <w:name w:val="TOC Heading"/>
    <w:basedOn w:val="Titre1"/>
    <w:next w:val="Normal"/>
    <w:uiPriority w:val="39"/>
    <w:unhideWhenUsed/>
    <w:qFormat/>
    <w:rsid w:val="00487783"/>
    <w:pPr>
      <w:keepNext/>
      <w:keepLines/>
      <w:spacing w:before="240" w:after="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M1">
    <w:name w:val="toc 1"/>
    <w:basedOn w:val="Normal"/>
    <w:next w:val="Normal"/>
    <w:autoRedefine/>
    <w:uiPriority w:val="39"/>
    <w:unhideWhenUsed/>
    <w:rsid w:val="00487783"/>
    <w:pPr>
      <w:spacing w:after="100"/>
    </w:pPr>
  </w:style>
  <w:style w:type="paragraph" w:styleId="TM2">
    <w:name w:val="toc 2"/>
    <w:basedOn w:val="Normal"/>
    <w:next w:val="Normal"/>
    <w:autoRedefine/>
    <w:uiPriority w:val="39"/>
    <w:unhideWhenUsed/>
    <w:rsid w:val="00487783"/>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11997-975D-43A5-A9FD-5EF32B98E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939</Words>
  <Characters>5166</Characters>
  <Application>Microsoft Office Word</Application>
  <DocSecurity>0</DocSecurity>
  <Lines>43</Lines>
  <Paragraphs>12</Paragraphs>
  <ScaleCrop>false</ScaleCrop>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Procédure d'aménagement des épreuves d'examens et concours</dc:title>
  <dc:creator>Un-named</dc:creator>
  <dc:description>Cosui handicap du 26 mai 2026 - SG/DRH/D/RM1</dc:description>
  <cp:lastModifiedBy>SIMONNET Jean-Philippe</cp:lastModifiedBy>
  <cp:revision>5</cp:revision>
  <dcterms:created xsi:type="dcterms:W3CDTF">2026-05-22T12:57:00Z</dcterms:created>
  <dcterms:modified xsi:type="dcterms:W3CDTF">2026-05-22T13:52:00Z</dcterms:modified>
</cp:coreProperties>
</file>