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708" w14:textId="6F050853" w:rsidR="003E505B" w:rsidRDefault="003E505B">
      <w:pPr>
        <w:pStyle w:val="Titre1"/>
      </w:pPr>
      <w:r>
        <w:rPr>
          <w:noProof/>
        </w:rPr>
        <w:drawing>
          <wp:inline distT="0" distB="0" distL="0" distR="0" wp14:anchorId="2F1D4879" wp14:editId="6AD6D617">
            <wp:extent cx="1552575" cy="973649"/>
            <wp:effectExtent l="0" t="0" r="0" b="0"/>
            <wp:docPr id="1" name="Graphique 1" descr="Logo Préfet de la Région Nouvelle-Aquitaine - Liberté Égalité Fraternit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Logo Préfet de la Région Nouvelle-Aquitaine - Liberté Égalité Fraternité.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43" cy="97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36D4A" w14:textId="7E176EDD" w:rsidR="00441592" w:rsidRDefault="00815BB0">
      <w:pPr>
        <w:pStyle w:val="Titre1"/>
      </w:pPr>
      <w:r>
        <w:t>Comité de suivi handicap du 26 mai 2026</w:t>
      </w:r>
    </w:p>
    <w:p w14:paraId="4AD49AA8" w14:textId="77777777" w:rsidR="00441592" w:rsidRDefault="00441592">
      <w:pPr>
        <w:spacing w:after="160"/>
      </w:pPr>
    </w:p>
    <w:p w14:paraId="38959F4A" w14:textId="694E2355" w:rsidR="00441592" w:rsidRDefault="00815BB0" w:rsidP="002D6D07">
      <w:pPr>
        <w:spacing w:after="120"/>
      </w:pPr>
      <w:r>
        <w:rPr>
          <w:b/>
          <w:bCs/>
        </w:rPr>
        <w:t>Direction régionale de l'Environnement, de l'Aménagement et du Logement Nouvelle-Aquitaine (DREAL Nouvelle-Aquitaine)</w:t>
      </w:r>
    </w:p>
    <w:p w14:paraId="042C9F55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 xml:space="preserve">Valérie CLINET, </w:t>
      </w:r>
      <w:proofErr w:type="gramStart"/>
      <w:r>
        <w:t>personne ressource</w:t>
      </w:r>
      <w:proofErr w:type="gramEnd"/>
      <w:r>
        <w:t xml:space="preserve"> handicap régional</w:t>
      </w:r>
    </w:p>
    <w:p w14:paraId="3EE93980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Valérie KOUASSI, responsable du service social régional</w:t>
      </w:r>
    </w:p>
    <w:p w14:paraId="4A3134D2" w14:textId="77777777" w:rsidR="002D6D07" w:rsidRDefault="002D6D07">
      <w:pPr>
        <w:spacing w:after="100"/>
      </w:pPr>
    </w:p>
    <w:p w14:paraId="674D0501" w14:textId="41B30C96" w:rsidR="00441592" w:rsidRDefault="00815BB0">
      <w:pPr>
        <w:spacing w:after="100"/>
      </w:pPr>
      <w:r>
        <w:rPr>
          <w:i/>
          <w:iCs/>
          <w:color w:val="555555"/>
          <w:sz w:val="22"/>
          <w:szCs w:val="22"/>
        </w:rPr>
        <w:t>Note : Ce document est la version Word accessible de la présentation. L'ensemble du contenu des diapositives est reproduit dans un ordre logique de lecture.</w:t>
      </w:r>
    </w:p>
    <w:p w14:paraId="10C5D540" w14:textId="77777777" w:rsidR="00441592" w:rsidRDefault="00815BB0">
      <w:r>
        <w:br w:type="page"/>
      </w:r>
    </w:p>
    <w:p w14:paraId="1092C295" w14:textId="77777777" w:rsidR="00441592" w:rsidRDefault="00815BB0">
      <w:pPr>
        <w:pStyle w:val="Titre1"/>
      </w:pPr>
      <w:r>
        <w:lastRenderedPageBreak/>
        <w:t>La Nouvelle-Aquitaine, un territoire engagé pour l'inclusion</w:t>
      </w:r>
    </w:p>
    <w:p w14:paraId="550AEF18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12 départements, 3 062 agents du MTE répartis sur 91 implantations (DREAL, DIRA, DIRCO, DIRM, DDI…)</w:t>
      </w:r>
    </w:p>
    <w:p w14:paraId="1F833EAB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Notre objectif : briser les barrières, changer les regards.</w:t>
      </w:r>
    </w:p>
    <w:p w14:paraId="0907DC86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La SEEPH : quand la sensibilisation devient action.</w:t>
      </w:r>
    </w:p>
    <w:p w14:paraId="0DA3AF37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3 actions présentées, conçues par COM/</w:t>
      </w:r>
      <w:proofErr w:type="spellStart"/>
      <w:r>
        <w:t>unedifférence</w:t>
      </w:r>
      <w:proofErr w:type="spellEnd"/>
      <w:r>
        <w:t xml:space="preserve"> :</w:t>
      </w:r>
    </w:p>
    <w:p w14:paraId="5B857CBD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Le dé rond</w:t>
      </w:r>
    </w:p>
    <w:p w14:paraId="2B0F3B7F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Le jeu digital sur la santé mentale</w:t>
      </w:r>
    </w:p>
    <w:p w14:paraId="026A5301" w14:textId="5DEEE021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Le jeu de société Mémo Diff</w:t>
      </w:r>
    </w:p>
    <w:p w14:paraId="30194874" w14:textId="77777777" w:rsidR="003E505B" w:rsidRDefault="003E505B" w:rsidP="003E505B">
      <w:pPr>
        <w:spacing w:after="80"/>
      </w:pPr>
    </w:p>
    <w:p w14:paraId="4B462941" w14:textId="0D0FA983" w:rsidR="003E505B" w:rsidRDefault="003E505B" w:rsidP="003E505B">
      <w:pPr>
        <w:pStyle w:val="Paragraphedeliste"/>
        <w:spacing w:after="160"/>
        <w:ind w:left="1080"/>
      </w:pPr>
      <w:r>
        <w:rPr>
          <w:noProof/>
        </w:rPr>
        <w:drawing>
          <wp:inline distT="0" distB="0" distL="0" distR="0" wp14:anchorId="43C22C77" wp14:editId="30C592EC">
            <wp:extent cx="4343400" cy="5619749"/>
            <wp:effectExtent l="0" t="0" r="0" b="635"/>
            <wp:docPr id="2" name="Graphique 2" descr="Carte géographique de la région Nouvelle-Aquitaine présentant les 12 départements, avec une légende indiquant les implantations : site Poitiers (siège), sites Bordeaux et Limoges, unités départementa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Carte géographique de la région Nouvelle-Aquitaine présentant les 12 départements, avec une légende indiquant les implantations : site Poitiers (siège), sites Bordeaux et Limoges, unités départementale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61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F500" w14:textId="77777777" w:rsidR="00441592" w:rsidRDefault="00441592">
      <w:pPr>
        <w:spacing w:after="160"/>
      </w:pPr>
    </w:p>
    <w:p w14:paraId="2709DE37" w14:textId="77777777" w:rsidR="00441592" w:rsidRDefault="00815BB0">
      <w:r>
        <w:br w:type="page"/>
      </w:r>
    </w:p>
    <w:p w14:paraId="409EACF6" w14:textId="77777777" w:rsidR="00441592" w:rsidRDefault="00815BB0">
      <w:pPr>
        <w:pStyle w:val="Titre1"/>
      </w:pPr>
      <w:r>
        <w:lastRenderedPageBreak/>
        <w:t>Un « dé rond » pour bousculer les idées reçues</w:t>
      </w:r>
    </w:p>
    <w:p w14:paraId="03968315" w14:textId="0A3030F9" w:rsidR="00441592" w:rsidRDefault="003E505B">
      <w:pPr>
        <w:spacing w:after="160"/>
      </w:pPr>
      <w:r>
        <w:rPr>
          <w:noProof/>
        </w:rPr>
        <w:drawing>
          <wp:inline distT="0" distB="0" distL="0" distR="0" wp14:anchorId="324A850E" wp14:editId="36524259">
            <wp:extent cx="3171825" cy="2809875"/>
            <wp:effectExtent l="0" t="0" r="9525" b="9525"/>
            <wp:docPr id="3" name="Graphique 3" descr="Photographie d'un bureau avec plusieurs dés de formes ronde et colorés et un porte-clés avec l'inscription « Je suis un dé rond, et alors ? 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Photographie d'un bureau avec plusieurs dés de formes ronde et colorés et un porte-clés avec l'inscription « Je suis un dé rond, et alors ? »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375F4" w14:textId="77777777" w:rsidR="00BE7E43" w:rsidRDefault="00BE7E43">
      <w:pPr>
        <w:spacing w:after="160"/>
      </w:pPr>
    </w:p>
    <w:p w14:paraId="402F7B1F" w14:textId="77777777" w:rsidR="00441592" w:rsidRDefault="00815BB0" w:rsidP="00BE7E43">
      <w:pPr>
        <w:spacing w:after="80"/>
      </w:pPr>
      <w:r>
        <w:t>« Défi de l'objet inattendu », action menée à la DREAL Nouvelle-Aquitaine</w:t>
      </w:r>
    </w:p>
    <w:p w14:paraId="78931A77" w14:textId="77777777" w:rsidR="00441592" w:rsidRDefault="00441592">
      <w:pPr>
        <w:spacing w:after="160"/>
      </w:pPr>
    </w:p>
    <w:p w14:paraId="3E6B4F00" w14:textId="77777777" w:rsidR="00441592" w:rsidRDefault="00815BB0">
      <w:pPr>
        <w:pStyle w:val="Titre3"/>
      </w:pPr>
      <w:r>
        <w:t>Restitution — Paroles des participants</w:t>
      </w:r>
    </w:p>
    <w:p w14:paraId="35C291EF" w14:textId="77777777" w:rsidR="00441592" w:rsidRDefault="00815BB0">
      <w:pPr>
        <w:spacing w:after="100"/>
        <w:ind w:left="720"/>
      </w:pPr>
      <w:r>
        <w:rPr>
          <w:i/>
          <w:iCs/>
        </w:rPr>
        <w:t>« Selon moi c'est un dé. OUI, mais encore ? Sa valeur symbolique ? Avec sa forme ronde et sa couleur verte, je dirais la planète terre et l'écologie. Cela aurait pu ! Pourquoi pas… Vous êtes bien au ministère de la transition écologique… mais vous oubliez l'indice : la semaine pour l'emploi des personnes handicapées. »</w:t>
      </w:r>
    </w:p>
    <w:p w14:paraId="04655CFD" w14:textId="77777777" w:rsidR="00441592" w:rsidRDefault="00815BB0">
      <w:pPr>
        <w:spacing w:after="100"/>
        <w:ind w:left="720"/>
      </w:pPr>
      <w:r>
        <w:rPr>
          <w:i/>
          <w:iCs/>
        </w:rPr>
        <w:t>« Porte-clefs… mais pas que… « anti-stress » pourquoi pas, mais encore ? »</w:t>
      </w:r>
    </w:p>
    <w:p w14:paraId="3FACFD3F" w14:textId="77777777" w:rsidR="00441592" w:rsidRDefault="00815BB0">
      <w:pPr>
        <w:spacing w:after="100"/>
        <w:ind w:left="720"/>
      </w:pPr>
      <w:r>
        <w:rPr>
          <w:i/>
          <w:iCs/>
        </w:rPr>
        <w:t>« Un outil de sensibilisation pour démontrer que la différence n'est pas un frein à la performance. Vous avez tout compris ! »</w:t>
      </w:r>
    </w:p>
    <w:p w14:paraId="6A7C4196" w14:textId="77777777" w:rsidR="00441592" w:rsidRDefault="00815BB0">
      <w:pPr>
        <w:spacing w:after="100"/>
        <w:ind w:left="720"/>
      </w:pPr>
      <w:r>
        <w:rPr>
          <w:i/>
          <w:iCs/>
        </w:rPr>
        <w:t>« C'est un dé rond qui préconise d'accepter nos différences. Oui Merci ! »</w:t>
      </w:r>
    </w:p>
    <w:p w14:paraId="3BED0051" w14:textId="77777777" w:rsidR="00441592" w:rsidRDefault="00441592">
      <w:pPr>
        <w:spacing w:after="160"/>
      </w:pPr>
    </w:p>
    <w:p w14:paraId="0E3201B0" w14:textId="77777777" w:rsidR="00441592" w:rsidRDefault="00815BB0">
      <w:pPr>
        <w:spacing w:after="120"/>
      </w:pPr>
      <w:r>
        <w:rPr>
          <w:b/>
          <w:bCs/>
        </w:rPr>
        <w:t>Différent et compétent.</w:t>
      </w:r>
      <w:r>
        <w:t xml:space="preserve"> Les personnes en situation de handicap font preuve d'encore plus d'</w:t>
      </w:r>
      <w:r>
        <w:rPr>
          <w:b/>
          <w:bCs/>
        </w:rPr>
        <w:t>adaptabilité</w:t>
      </w:r>
      <w:r>
        <w:t xml:space="preserve"> que les autres. La diversité est une </w:t>
      </w:r>
      <w:r>
        <w:rPr>
          <w:b/>
          <w:bCs/>
        </w:rPr>
        <w:t>force.</w:t>
      </w:r>
    </w:p>
    <w:p w14:paraId="2F7783BF" w14:textId="77777777" w:rsidR="00441592" w:rsidRDefault="00441592">
      <w:pPr>
        <w:spacing w:after="160"/>
      </w:pPr>
    </w:p>
    <w:p w14:paraId="170602D1" w14:textId="77777777" w:rsidR="00441592" w:rsidRDefault="00815BB0">
      <w:pPr>
        <w:spacing w:after="120"/>
      </w:pPr>
      <w:r>
        <w:rPr>
          <w:i/>
          <w:iCs/>
        </w:rPr>
        <w:t>Mot de la fin : « Les dés sont jetés ! »</w:t>
      </w:r>
    </w:p>
    <w:p w14:paraId="5CA6C9E4" w14:textId="77777777" w:rsidR="00441592" w:rsidRDefault="00441592">
      <w:pPr>
        <w:spacing w:after="160"/>
      </w:pPr>
    </w:p>
    <w:p w14:paraId="059C11FD" w14:textId="77777777" w:rsidR="00441592" w:rsidRDefault="00815BB0">
      <w:r>
        <w:br w:type="page"/>
      </w:r>
    </w:p>
    <w:p w14:paraId="4F6AC870" w14:textId="019DCAAD" w:rsidR="00441592" w:rsidRDefault="00815BB0">
      <w:pPr>
        <w:pStyle w:val="Titre1"/>
      </w:pPr>
      <w:r>
        <w:lastRenderedPageBreak/>
        <w:t>Le jeu digital : la santé mentale pour briser les tabous</w:t>
      </w:r>
    </w:p>
    <w:p w14:paraId="6F396242" w14:textId="5579C10C" w:rsidR="00441592" w:rsidRDefault="00441592">
      <w:pPr>
        <w:spacing w:after="160"/>
      </w:pPr>
    </w:p>
    <w:p w14:paraId="077B7EEF" w14:textId="3AEFCA18" w:rsidR="00441592" w:rsidRDefault="00815BB0">
      <w:pPr>
        <w:pStyle w:val="Paragraphedeliste"/>
        <w:numPr>
          <w:ilvl w:val="0"/>
          <w:numId w:val="2"/>
        </w:numPr>
        <w:spacing w:after="8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A45E75" wp14:editId="3A3A85ED">
            <wp:simplePos x="0" y="0"/>
            <wp:positionH relativeFrom="margin">
              <wp:posOffset>3581400</wp:posOffset>
            </wp:positionH>
            <wp:positionV relativeFrom="margin">
              <wp:posOffset>962025</wp:posOffset>
            </wp:positionV>
            <wp:extent cx="2305050" cy="3457575"/>
            <wp:effectExtent l="0" t="0" r="0" b="9525"/>
            <wp:wrapSquare wrapText="bothSides"/>
            <wp:docPr id="4" name="Graphique 4" descr="Visuel du jeu digital com/unedifférence - fond sombre avec des cercles colorés représentant différents types de handicaps (visuel, auditif, cognitif, moteur, psychique) et le logo « com une différence 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Visuel du jeu digital com/unedifférence - fond sombre avec des cercles colorés représentant différents types de handicaps (visuel, auditif, cognitif, moteur, psychique) et le logo « com une différence »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 minutes / jour pour apprendre autrement</w:t>
      </w:r>
    </w:p>
    <w:p w14:paraId="27C13B2B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Le concept : un calendrier de l'avent sur le thème du handicap</w:t>
      </w:r>
    </w:p>
    <w:p w14:paraId="3B0797C5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L'objectif : déconstruire les préjugés et sensibiliser aux bonnes pratiques</w:t>
      </w:r>
    </w:p>
    <w:p w14:paraId="2D562E6B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>Approche ludique, avec notamment :</w:t>
      </w:r>
    </w:p>
    <w:p w14:paraId="5E3F8E25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Les célébrités en situation de handicap : TCA, TOC, trouble bipolaire… ces célébrités qui sont des gens comme les autres…</w:t>
      </w:r>
    </w:p>
    <w:p w14:paraId="473D0206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À votre avis : idée reçue ou réalité ? Exemple — 3 % de la population est touchée, à un moment de sa vie, par la dépression.</w:t>
      </w:r>
    </w:p>
    <w:p w14:paraId="0A837F31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Blind test cinéma et musique : « notre héros souffre de troubles dissociatifs de la personnalité, a tué sa mère et plusieurs femmes… qui est-il ? »</w:t>
      </w:r>
    </w:p>
    <w:p w14:paraId="71B33A90" w14:textId="77777777" w:rsidR="00441592" w:rsidRDefault="00441592">
      <w:pPr>
        <w:spacing w:after="160"/>
      </w:pPr>
    </w:p>
    <w:p w14:paraId="03DA9642" w14:textId="77777777" w:rsidR="00441592" w:rsidRDefault="00815BB0">
      <w:r>
        <w:br w:type="page"/>
      </w:r>
    </w:p>
    <w:p w14:paraId="73C323D6" w14:textId="77777777" w:rsidR="00441592" w:rsidRDefault="00815BB0">
      <w:pPr>
        <w:pStyle w:val="Titre1"/>
      </w:pPr>
      <w:r>
        <w:lastRenderedPageBreak/>
        <w:t>« Mémo Diff » : et si on changeait le regard sur le handicap… en jouant ?</w:t>
      </w:r>
    </w:p>
    <w:p w14:paraId="2042BBFC" w14:textId="61246E5B" w:rsidR="00441592" w:rsidRDefault="00815BB0">
      <w:pPr>
        <w:spacing w:after="160"/>
      </w:pPr>
      <w:r>
        <w:rPr>
          <w:noProof/>
        </w:rPr>
        <w:drawing>
          <wp:inline distT="0" distB="0" distL="0" distR="0" wp14:anchorId="4DAA7CA3" wp14:editId="432C3673">
            <wp:extent cx="4110111" cy="3301409"/>
            <wp:effectExtent l="0" t="0" r="5080" b="0"/>
            <wp:docPr id="5" name="Graphique 5" descr="Photo de trois femmes debout derrière une table couverte de jeux de société et de matériel de sensibilisation, dans un espace ouvert (hall d'accuei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Photo de trois femmes debout derrière une table couverte de jeux de société et de matériel de sensibilisation, dans un espace ouvert (hall d'accueil)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111" cy="330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ACFD7" w14:textId="77777777" w:rsidR="00441592" w:rsidRDefault="00815BB0">
      <w:pPr>
        <w:pStyle w:val="Paragraphedeliste"/>
        <w:numPr>
          <w:ilvl w:val="0"/>
          <w:numId w:val="2"/>
        </w:numPr>
        <w:spacing w:after="80"/>
      </w:pPr>
      <w:r>
        <w:t xml:space="preserve">Un jeu innovant mêlant </w:t>
      </w:r>
      <w:proofErr w:type="spellStart"/>
      <w:r>
        <w:t>mémory</w:t>
      </w:r>
      <w:proofErr w:type="spellEnd"/>
      <w:r>
        <w:t xml:space="preserve"> et bonnes pratiques</w:t>
      </w:r>
    </w:p>
    <w:p w14:paraId="6D642CF7" w14:textId="77777777" w:rsidR="00441592" w:rsidRDefault="00441592">
      <w:pPr>
        <w:spacing w:after="160"/>
      </w:pPr>
    </w:p>
    <w:p w14:paraId="371DF2F9" w14:textId="77777777" w:rsidR="00441592" w:rsidRDefault="00815BB0">
      <w:pPr>
        <w:pStyle w:val="Titre3"/>
      </w:pPr>
      <w:r>
        <w:t>Impact et déploiement</w:t>
      </w:r>
    </w:p>
    <w:p w14:paraId="12FEFC06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75 jeux distribués en Nouvelle-Aquitaine</w:t>
      </w:r>
    </w:p>
    <w:p w14:paraId="5B17232E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Une dynamique interministérielle</w:t>
      </w:r>
    </w:p>
    <w:p w14:paraId="1B127F64" w14:textId="77777777" w:rsidR="00441592" w:rsidRDefault="00815BB0">
      <w:pPr>
        <w:pStyle w:val="Titre3"/>
      </w:pPr>
      <w:r>
        <w:t>La mise en œuvre</w:t>
      </w:r>
    </w:p>
    <w:p w14:paraId="2FADE131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3 sessions de formation à l'animation</w:t>
      </w:r>
    </w:p>
    <w:p w14:paraId="3CA4E1AE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Outils créés : fiche pratique et affiche</w:t>
      </w:r>
    </w:p>
    <w:p w14:paraId="1C7291A0" w14:textId="77777777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Un réseau d'animateurs impliqués</w:t>
      </w:r>
    </w:p>
    <w:p w14:paraId="7249708D" w14:textId="565BEF83" w:rsidR="00441592" w:rsidRDefault="00815BB0">
      <w:pPr>
        <w:pStyle w:val="Paragraphedeliste"/>
        <w:numPr>
          <w:ilvl w:val="0"/>
          <w:numId w:val="3"/>
        </w:numPr>
        <w:spacing w:after="80"/>
      </w:pPr>
      <w:r>
        <w:t>5 jours forts à Bordeaux</w:t>
      </w:r>
    </w:p>
    <w:p w14:paraId="2000521A" w14:textId="4876F7DD" w:rsidR="00815BB0" w:rsidRDefault="00815BB0" w:rsidP="00815BB0">
      <w:pPr>
        <w:spacing w:after="80"/>
      </w:pPr>
    </w:p>
    <w:p w14:paraId="0ACD93D5" w14:textId="346E1E4E" w:rsidR="00441592" w:rsidRDefault="00815BB0" w:rsidP="00815BB0">
      <w:pPr>
        <w:spacing w:after="80"/>
      </w:pPr>
      <w:r>
        <w:rPr>
          <w:noProof/>
        </w:rPr>
        <w:drawing>
          <wp:inline distT="0" distB="0" distL="0" distR="0" wp14:anchorId="1B5E5DB8" wp14:editId="29F0B1A2">
            <wp:extent cx="2851922" cy="1971462"/>
            <wp:effectExtent l="0" t="0" r="5715" b="0"/>
            <wp:docPr id="6" name="Graphique 6" descr="Photo du jeu Mémo Diff - une boîte avec des cartes mémory rouges et blanches et un livret explicati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Photo du jeu Mémo Diff - une boîte avec des cartes mémory rouges et blanches et un livret explicatif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22" cy="19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FBE5" w14:textId="77777777" w:rsidR="00441592" w:rsidRDefault="00815BB0">
      <w:pPr>
        <w:pStyle w:val="Titre1"/>
      </w:pPr>
      <w:r>
        <w:lastRenderedPageBreak/>
        <w:t>Le bilan des actions menées</w:t>
      </w:r>
    </w:p>
    <w:p w14:paraId="0648256F" w14:textId="77777777" w:rsidR="00441592" w:rsidRDefault="00815BB0">
      <w:pPr>
        <w:spacing w:after="120"/>
      </w:pPr>
      <w:r>
        <w:t>Des agents impliqués, des prises de conscience, des regards qui évoluent…</w:t>
      </w:r>
    </w:p>
    <w:p w14:paraId="18D0D15E" w14:textId="77777777" w:rsidR="00441592" w:rsidRDefault="00441592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441592" w14:paraId="35907232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3CD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FCC5E9" w14:textId="77777777" w:rsidR="00441592" w:rsidRDefault="00815BB0">
            <w:pPr>
              <w:jc w:val="center"/>
            </w:pPr>
            <w:r>
              <w:rPr>
                <w:b/>
                <w:bCs/>
              </w:rPr>
              <w:t>Le « dé rond »</w:t>
            </w:r>
          </w:p>
        </w:tc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414F6B" w14:textId="77777777" w:rsidR="00441592" w:rsidRDefault="00815BB0">
            <w:pPr>
              <w:spacing w:after="60"/>
            </w:pPr>
            <w:r>
              <w:t>• 800 agents sensibilisés</w:t>
            </w:r>
          </w:p>
        </w:tc>
      </w:tr>
      <w:tr w:rsidR="00441592" w14:paraId="638C08E1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4EDD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79B618" w14:textId="77777777" w:rsidR="00441592" w:rsidRDefault="00815BB0">
            <w:pPr>
              <w:jc w:val="center"/>
            </w:pPr>
            <w:r>
              <w:rPr>
                <w:b/>
                <w:bCs/>
              </w:rPr>
              <w:t>Le jeu digital sur la santé mentale</w:t>
            </w:r>
          </w:p>
        </w:tc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4B6699" w14:textId="77777777" w:rsidR="00441592" w:rsidRDefault="00815BB0">
            <w:pPr>
              <w:spacing w:after="60"/>
            </w:pPr>
            <w:r>
              <w:t>• 947 visiteurs</w:t>
            </w:r>
          </w:p>
          <w:p w14:paraId="28ABD80C" w14:textId="77777777" w:rsidR="00441592" w:rsidRDefault="00815BB0">
            <w:pPr>
              <w:spacing w:after="60"/>
            </w:pPr>
            <w:r>
              <w:t>• 17 600 interactions</w:t>
            </w:r>
          </w:p>
        </w:tc>
      </w:tr>
      <w:tr w:rsidR="00441592" w14:paraId="2EA2BB1C" w14:textId="77777777"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1EC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E3D90FF" w14:textId="77777777" w:rsidR="00441592" w:rsidRDefault="00815BB0">
            <w:pPr>
              <w:jc w:val="center"/>
            </w:pPr>
            <w:r>
              <w:rPr>
                <w:b/>
                <w:bCs/>
              </w:rPr>
              <w:t>Mémo Diff</w:t>
            </w:r>
          </w:p>
        </w:tc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F03BFC" w14:textId="77777777" w:rsidR="00441592" w:rsidRDefault="00815BB0">
            <w:pPr>
              <w:spacing w:after="60"/>
            </w:pPr>
            <w:r>
              <w:t>• 75 jeux diffusés</w:t>
            </w:r>
          </w:p>
          <w:p w14:paraId="1D3A18FA" w14:textId="77777777" w:rsidR="00441592" w:rsidRDefault="00815BB0">
            <w:pPr>
              <w:spacing w:after="60"/>
            </w:pPr>
            <w:r>
              <w:t>• Quelques 600 agents qui se sont questionnés</w:t>
            </w:r>
          </w:p>
          <w:p w14:paraId="58DCEDFC" w14:textId="77777777" w:rsidR="00441592" w:rsidRDefault="00815BB0">
            <w:pPr>
              <w:spacing w:after="60"/>
            </w:pPr>
            <w:r>
              <w:t>• Une dynamique interministérielle percutante</w:t>
            </w:r>
          </w:p>
        </w:tc>
      </w:tr>
    </w:tbl>
    <w:p w14:paraId="33F0DD7D" w14:textId="77777777" w:rsidR="00441592" w:rsidRDefault="00441592">
      <w:pPr>
        <w:spacing w:after="160"/>
      </w:pPr>
    </w:p>
    <w:p w14:paraId="3A6DE6B7" w14:textId="77777777" w:rsidR="00441592" w:rsidRDefault="00815BB0">
      <w:pPr>
        <w:spacing w:after="120"/>
      </w:pPr>
      <w:r>
        <w:rPr>
          <w:b/>
          <w:bCs/>
        </w:rPr>
        <w:t>… Et bien d'autres initiatives ont été menées !</w:t>
      </w:r>
    </w:p>
    <w:p w14:paraId="2538E04F" w14:textId="77777777" w:rsidR="00441592" w:rsidRDefault="00441592">
      <w:pPr>
        <w:spacing w:after="160"/>
      </w:pPr>
    </w:p>
    <w:sectPr w:rsidR="0044159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F3A56"/>
    <w:multiLevelType w:val="hybridMultilevel"/>
    <w:tmpl w:val="78142208"/>
    <w:lvl w:ilvl="0" w:tplc="08F4BC68">
      <w:start w:val="1"/>
      <w:numFmt w:val="bullet"/>
      <w:lvlText w:val="–"/>
      <w:lvlJc w:val="left"/>
      <w:pPr>
        <w:ind w:left="1080" w:hanging="360"/>
      </w:pPr>
      <w:rPr>
        <w:rFonts w:ascii="Arial" w:eastAsia="Arial" w:hAnsi="Arial" w:cs="Arial"/>
        <w:sz w:val="24"/>
        <w:szCs w:val="24"/>
      </w:rPr>
    </w:lvl>
    <w:lvl w:ilvl="1" w:tplc="58A89F66">
      <w:numFmt w:val="decimal"/>
      <w:lvlText w:val=""/>
      <w:lvlJc w:val="left"/>
    </w:lvl>
    <w:lvl w:ilvl="2" w:tplc="8CF2C3F8">
      <w:numFmt w:val="decimal"/>
      <w:lvlText w:val=""/>
      <w:lvlJc w:val="left"/>
    </w:lvl>
    <w:lvl w:ilvl="3" w:tplc="889A083C">
      <w:numFmt w:val="decimal"/>
      <w:lvlText w:val=""/>
      <w:lvlJc w:val="left"/>
    </w:lvl>
    <w:lvl w:ilvl="4" w:tplc="3CB8B704">
      <w:numFmt w:val="decimal"/>
      <w:lvlText w:val=""/>
      <w:lvlJc w:val="left"/>
    </w:lvl>
    <w:lvl w:ilvl="5" w:tplc="AF70CD74">
      <w:numFmt w:val="decimal"/>
      <w:lvlText w:val=""/>
      <w:lvlJc w:val="left"/>
    </w:lvl>
    <w:lvl w:ilvl="6" w:tplc="8D600366">
      <w:numFmt w:val="decimal"/>
      <w:lvlText w:val=""/>
      <w:lvlJc w:val="left"/>
    </w:lvl>
    <w:lvl w:ilvl="7" w:tplc="98F4440E">
      <w:numFmt w:val="decimal"/>
      <w:lvlText w:val=""/>
      <w:lvlJc w:val="left"/>
    </w:lvl>
    <w:lvl w:ilvl="8" w:tplc="3E6E8BA4">
      <w:numFmt w:val="decimal"/>
      <w:lvlText w:val=""/>
      <w:lvlJc w:val="left"/>
    </w:lvl>
  </w:abstractNum>
  <w:abstractNum w:abstractNumId="1" w15:restartNumberingAfterBreak="0">
    <w:nsid w:val="60DA6207"/>
    <w:multiLevelType w:val="hybridMultilevel"/>
    <w:tmpl w:val="06265BAC"/>
    <w:lvl w:ilvl="0" w:tplc="66682AF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 w:tplc="B6ECEF34">
      <w:numFmt w:val="decimal"/>
      <w:lvlText w:val=""/>
      <w:lvlJc w:val="left"/>
    </w:lvl>
    <w:lvl w:ilvl="2" w:tplc="3088349C">
      <w:numFmt w:val="decimal"/>
      <w:lvlText w:val=""/>
      <w:lvlJc w:val="left"/>
    </w:lvl>
    <w:lvl w:ilvl="3" w:tplc="A5A2B8F4">
      <w:numFmt w:val="decimal"/>
      <w:lvlText w:val=""/>
      <w:lvlJc w:val="left"/>
    </w:lvl>
    <w:lvl w:ilvl="4" w:tplc="FDE4A37A">
      <w:numFmt w:val="decimal"/>
      <w:lvlText w:val=""/>
      <w:lvlJc w:val="left"/>
    </w:lvl>
    <w:lvl w:ilvl="5" w:tplc="2E5CDE80">
      <w:numFmt w:val="decimal"/>
      <w:lvlText w:val=""/>
      <w:lvlJc w:val="left"/>
    </w:lvl>
    <w:lvl w:ilvl="6" w:tplc="936C0AD4">
      <w:numFmt w:val="decimal"/>
      <w:lvlText w:val=""/>
      <w:lvlJc w:val="left"/>
    </w:lvl>
    <w:lvl w:ilvl="7" w:tplc="A4E43DEA">
      <w:numFmt w:val="decimal"/>
      <w:lvlText w:val=""/>
      <w:lvlJc w:val="left"/>
    </w:lvl>
    <w:lvl w:ilvl="8" w:tplc="BB566246">
      <w:numFmt w:val="decimal"/>
      <w:lvlText w:val=""/>
      <w:lvlJc w:val="left"/>
    </w:lvl>
  </w:abstractNum>
  <w:abstractNum w:abstractNumId="2" w15:restartNumberingAfterBreak="0">
    <w:nsid w:val="701B0A3A"/>
    <w:multiLevelType w:val="hybridMultilevel"/>
    <w:tmpl w:val="F34C4AAE"/>
    <w:lvl w:ilvl="0" w:tplc="69FAF2C6">
      <w:start w:val="1"/>
      <w:numFmt w:val="bullet"/>
      <w:lvlText w:val="●"/>
      <w:lvlJc w:val="left"/>
      <w:pPr>
        <w:ind w:left="720" w:hanging="360"/>
      </w:pPr>
    </w:lvl>
    <w:lvl w:ilvl="1" w:tplc="256E695E">
      <w:start w:val="1"/>
      <w:numFmt w:val="bullet"/>
      <w:lvlText w:val="○"/>
      <w:lvlJc w:val="left"/>
      <w:pPr>
        <w:ind w:left="1440" w:hanging="360"/>
      </w:pPr>
    </w:lvl>
    <w:lvl w:ilvl="2" w:tplc="A844B356">
      <w:start w:val="1"/>
      <w:numFmt w:val="bullet"/>
      <w:lvlText w:val="■"/>
      <w:lvlJc w:val="left"/>
      <w:pPr>
        <w:ind w:left="2160" w:hanging="360"/>
      </w:pPr>
    </w:lvl>
    <w:lvl w:ilvl="3" w:tplc="6C126FB2">
      <w:start w:val="1"/>
      <w:numFmt w:val="bullet"/>
      <w:lvlText w:val="●"/>
      <w:lvlJc w:val="left"/>
      <w:pPr>
        <w:ind w:left="2880" w:hanging="360"/>
      </w:pPr>
    </w:lvl>
    <w:lvl w:ilvl="4" w:tplc="80B4D8EA">
      <w:start w:val="1"/>
      <w:numFmt w:val="bullet"/>
      <w:lvlText w:val="○"/>
      <w:lvlJc w:val="left"/>
      <w:pPr>
        <w:ind w:left="3600" w:hanging="360"/>
      </w:pPr>
    </w:lvl>
    <w:lvl w:ilvl="5" w:tplc="49E0AD72">
      <w:start w:val="1"/>
      <w:numFmt w:val="bullet"/>
      <w:lvlText w:val="■"/>
      <w:lvlJc w:val="left"/>
      <w:pPr>
        <w:ind w:left="4320" w:hanging="360"/>
      </w:pPr>
    </w:lvl>
    <w:lvl w:ilvl="6" w:tplc="6BBA17BC">
      <w:start w:val="1"/>
      <w:numFmt w:val="bullet"/>
      <w:lvlText w:val="●"/>
      <w:lvlJc w:val="left"/>
      <w:pPr>
        <w:ind w:left="5040" w:hanging="360"/>
      </w:pPr>
    </w:lvl>
    <w:lvl w:ilvl="7" w:tplc="E3E20FEE">
      <w:start w:val="1"/>
      <w:numFmt w:val="bullet"/>
      <w:lvlText w:val="●"/>
      <w:lvlJc w:val="left"/>
      <w:pPr>
        <w:ind w:left="5760" w:hanging="360"/>
      </w:pPr>
    </w:lvl>
    <w:lvl w:ilvl="8" w:tplc="66AC6A6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92"/>
    <w:rsid w:val="002D6D07"/>
    <w:rsid w:val="003E505B"/>
    <w:rsid w:val="00441592"/>
    <w:rsid w:val="00815BB0"/>
    <w:rsid w:val="00BE7E43"/>
    <w:rsid w:val="00C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F9C3"/>
  <w15:docId w15:val="{0CCDA3B7-A554-4492-8A8C-AB49D727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pBdr>
        <w:bottom w:val="single" w:sz="4" w:space="1" w:color="1F3864"/>
      </w:pBdr>
      <w:spacing w:before="400" w:after="200"/>
      <w:outlineLvl w:val="0"/>
    </w:pPr>
    <w:rPr>
      <w:b/>
      <w:bCs/>
      <w:color w:val="1F3864"/>
      <w:sz w:val="36"/>
      <w:szCs w:val="36"/>
    </w:rPr>
  </w:style>
  <w:style w:type="paragraph" w:styleId="Titre2">
    <w:name w:val="heading 2"/>
    <w:uiPriority w:val="9"/>
    <w:unhideWhenUsed/>
    <w:qFormat/>
    <w:pPr>
      <w:spacing w:before="300" w:after="160"/>
      <w:outlineLvl w:val="1"/>
    </w:pPr>
    <w:rPr>
      <w:b/>
      <w:bCs/>
      <w:color w:val="2E5CA6"/>
      <w:sz w:val="28"/>
      <w:szCs w:val="28"/>
    </w:rPr>
  </w:style>
  <w:style w:type="paragraph" w:styleId="Titre3">
    <w:name w:val="heading 3"/>
    <w:uiPriority w:val="9"/>
    <w:unhideWhenUsed/>
    <w:qFormat/>
    <w:pPr>
      <w:spacing w:before="240" w:after="120"/>
      <w:outlineLvl w:val="2"/>
    </w:pPr>
    <w:rPr>
      <w:b/>
      <w:bCs/>
      <w:color w:val="333333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DREAL Nouvelle-Aquitaine — Comité de suivi handicap du 26 mai 2026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DREAL Nouvelle-Aquitaine — Comité de suivi handicap du 26 mai 2026</dc:title>
  <dc:subject>Sensibilisation au handicap, inclusion, SEEPH, DREAL Nouvelle-Aquitaine</dc:subject>
  <dc:creator>DREAL Nouvelle-Aquitaine — Valérie CLINET et Valérie KOUASSI</dc:creator>
  <cp:keywords>handicap, sensibilisation, SEEPH, dé rond, Mémo Diff, jeu digital, inclusion, Nouvelle-Aquitaine</cp:keywords>
  <dc:description>Document accessible présentant les actions de sensibilisation au handicap de la DREAL Nouvelle-Aquitaine lors du COSUI 2026 : le dé rond, le jeu digital sur la santé mentale, et Mémo Diff.</dc:description>
  <cp:lastModifiedBy>SIMONNET Jean-Philippe</cp:lastModifiedBy>
  <cp:revision>5</cp:revision>
  <dcterms:created xsi:type="dcterms:W3CDTF">2026-05-22T13:01:00Z</dcterms:created>
  <dcterms:modified xsi:type="dcterms:W3CDTF">2026-05-22T14:09:00Z</dcterms:modified>
</cp:coreProperties>
</file>